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2BDD8F" w14:textId="77777777" w:rsidR="00487FC7" w:rsidRDefault="00487FC7" w:rsidP="00382D22">
      <w:pPr>
        <w:spacing w:after="240" w:line="360" w:lineRule="auto"/>
        <w:ind w:left="93"/>
        <w:jc w:val="center"/>
        <w:rPr>
          <w:rFonts w:ascii="Roboto" w:hAnsi="Roboto" w:cs="Arial"/>
          <w:b/>
          <w:bCs/>
          <w:color w:val="373F56"/>
          <w:sz w:val="28"/>
          <w:szCs w:val="28"/>
        </w:rPr>
      </w:pPr>
    </w:p>
    <w:p w14:paraId="74882DBC" w14:textId="42E4660D" w:rsidR="00382D22" w:rsidRPr="00382D22" w:rsidRDefault="00382D22" w:rsidP="00382D22">
      <w:pPr>
        <w:spacing w:after="240" w:line="360" w:lineRule="auto"/>
        <w:ind w:left="93"/>
        <w:jc w:val="center"/>
        <w:rPr>
          <w:rFonts w:ascii="Roboto" w:hAnsi="Roboto" w:cs="Arial"/>
          <w:b/>
          <w:bCs/>
          <w:color w:val="373F56"/>
          <w:sz w:val="28"/>
          <w:szCs w:val="28"/>
        </w:rPr>
      </w:pPr>
      <w:r w:rsidRPr="00382D22">
        <w:rPr>
          <w:rFonts w:ascii="Roboto" w:hAnsi="Roboto" w:cs="Arial"/>
          <w:b/>
          <w:bCs/>
          <w:color w:val="373F56"/>
          <w:sz w:val="28"/>
          <w:szCs w:val="28"/>
        </w:rPr>
        <w:t>El TEPJF confirmó multa a Morena por haber afiliado indebidamente y hacer uso de los datos personales de una ciudadana</w:t>
      </w:r>
      <w:r w:rsidR="00C05507">
        <w:rPr>
          <w:rStyle w:val="Refdenotaalpie"/>
          <w:rFonts w:ascii="Roboto" w:hAnsi="Roboto" w:cs="Arial"/>
          <w:b/>
          <w:bCs/>
          <w:color w:val="373F56"/>
          <w:sz w:val="28"/>
          <w:szCs w:val="28"/>
        </w:rPr>
        <w:footnoteReference w:id="1"/>
      </w:r>
    </w:p>
    <w:p w14:paraId="274F825B" w14:textId="77777777" w:rsidR="00382D22" w:rsidRPr="00382D22" w:rsidRDefault="00382D22" w:rsidP="00382D22">
      <w:pPr>
        <w:spacing w:after="240" w:line="360" w:lineRule="auto"/>
        <w:ind w:left="93"/>
        <w:jc w:val="both"/>
        <w:rPr>
          <w:rFonts w:ascii="Roboto" w:hAnsi="Roboto" w:cs="Arial"/>
          <w:color w:val="373F56"/>
          <w:sz w:val="24"/>
          <w:szCs w:val="24"/>
        </w:rPr>
      </w:pPr>
      <w:r w:rsidRPr="00382D22">
        <w:rPr>
          <w:rFonts w:ascii="Roboto" w:hAnsi="Roboto" w:cs="Arial"/>
          <w:color w:val="373F56"/>
          <w:sz w:val="24"/>
          <w:szCs w:val="24"/>
        </w:rPr>
        <w:t>La Sala Superior del Tribunal Electoral del Poder Judicial de la Federación (TEPJF), por unanimidad de votos, confirmó la resolución del Consejo General del INE, porque Morena no acreditó la debida afiliación y uso de datos personales de una ciudadana</w:t>
      </w:r>
    </w:p>
    <w:p w14:paraId="304896AE" w14:textId="77777777" w:rsidR="00382D22" w:rsidRPr="00382D22" w:rsidRDefault="00382D22" w:rsidP="00382D22">
      <w:pPr>
        <w:spacing w:after="240" w:line="360" w:lineRule="auto"/>
        <w:ind w:left="93"/>
        <w:jc w:val="both"/>
        <w:rPr>
          <w:rFonts w:ascii="Roboto" w:hAnsi="Roboto" w:cs="Arial"/>
          <w:color w:val="373F56"/>
          <w:sz w:val="24"/>
          <w:szCs w:val="24"/>
        </w:rPr>
      </w:pPr>
      <w:r w:rsidRPr="00382D22">
        <w:rPr>
          <w:rFonts w:ascii="Roboto" w:hAnsi="Roboto" w:cs="Arial"/>
          <w:color w:val="373F56"/>
          <w:sz w:val="24"/>
          <w:szCs w:val="24"/>
        </w:rPr>
        <w:t>Morena controvirtió la resolución del Consejo General del INE por considerar que es incongruente, y con indebida fundamentación y motivación al no haber analizado sus alegatos y la cédula de afiliación que presentó.</w:t>
      </w:r>
    </w:p>
    <w:p w14:paraId="6BC95ED6" w14:textId="77777777" w:rsidR="00382D22" w:rsidRPr="00382D22" w:rsidRDefault="00382D22" w:rsidP="00382D22">
      <w:pPr>
        <w:spacing w:after="240" w:line="360" w:lineRule="auto"/>
        <w:ind w:left="93"/>
        <w:jc w:val="both"/>
        <w:rPr>
          <w:rFonts w:ascii="Roboto" w:hAnsi="Roboto" w:cs="Arial"/>
          <w:color w:val="373F56"/>
          <w:sz w:val="24"/>
          <w:szCs w:val="24"/>
        </w:rPr>
      </w:pPr>
      <w:r w:rsidRPr="00382D22">
        <w:rPr>
          <w:rFonts w:ascii="Roboto" w:hAnsi="Roboto" w:cs="Arial"/>
          <w:color w:val="373F56"/>
          <w:sz w:val="24"/>
          <w:szCs w:val="24"/>
        </w:rPr>
        <w:t>A propuesta del magistrado Alfredo Fuentes Barrera la Sala Superior, en sesión pública presencial, confirmó la resolución emitida por el Consejo General del INE porque la petición de Morena resultó infundada, ya que esta autoridad electoral sí analizó debidamente el caso.</w:t>
      </w:r>
    </w:p>
    <w:p w14:paraId="5F9B3DA5" w14:textId="2748187A" w:rsidR="00AA6AFC" w:rsidRPr="00745D2F" w:rsidRDefault="00382D22" w:rsidP="00382D22">
      <w:pPr>
        <w:spacing w:after="240" w:line="360" w:lineRule="auto"/>
        <w:ind w:left="93"/>
        <w:jc w:val="both"/>
        <w:rPr>
          <w:rFonts w:ascii="Roboto" w:hAnsi="Roboto" w:cs="Arial"/>
          <w:color w:val="373F56"/>
          <w:sz w:val="24"/>
          <w:szCs w:val="24"/>
        </w:rPr>
      </w:pPr>
      <w:r w:rsidRPr="00382D22">
        <w:rPr>
          <w:rFonts w:ascii="Roboto" w:hAnsi="Roboto" w:cs="Arial"/>
          <w:color w:val="373F56"/>
          <w:sz w:val="24"/>
          <w:szCs w:val="24"/>
        </w:rPr>
        <w:t>En consecuencia, se confirmó la resolución impugnada y la multa atribuida a dicho partido político. (SUP-RAP-289/2024).</w:t>
      </w:r>
    </w:p>
    <w:sectPr w:rsidR="00AA6AFC" w:rsidRPr="00745D2F" w:rsidSect="001C4015">
      <w:headerReference w:type="default" r:id="rId8"/>
      <w:pgSz w:w="12240" w:h="15840"/>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F4DC48" w14:textId="77777777" w:rsidR="00E3741C" w:rsidRDefault="00E3741C" w:rsidP="00DE1068">
      <w:pPr>
        <w:spacing w:after="0" w:line="240" w:lineRule="auto"/>
      </w:pPr>
      <w:r>
        <w:separator/>
      </w:r>
    </w:p>
  </w:endnote>
  <w:endnote w:type="continuationSeparator" w:id="0">
    <w:p w14:paraId="4BA118A2" w14:textId="77777777" w:rsidR="00E3741C" w:rsidRDefault="00E3741C" w:rsidP="00DE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B0604020202020204"/>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F05673" w14:textId="77777777" w:rsidR="00E3741C" w:rsidRDefault="00E3741C" w:rsidP="00DE1068">
      <w:pPr>
        <w:spacing w:after="0" w:line="240" w:lineRule="auto"/>
      </w:pPr>
      <w:r>
        <w:separator/>
      </w:r>
    </w:p>
  </w:footnote>
  <w:footnote w:type="continuationSeparator" w:id="0">
    <w:p w14:paraId="73A4459F" w14:textId="77777777" w:rsidR="00E3741C" w:rsidRDefault="00E3741C" w:rsidP="00DE1068">
      <w:pPr>
        <w:spacing w:after="0" w:line="240" w:lineRule="auto"/>
      </w:pPr>
      <w:r>
        <w:continuationSeparator/>
      </w:r>
    </w:p>
  </w:footnote>
  <w:footnote w:id="1">
    <w:p w14:paraId="15E525E1" w14:textId="196D1E37" w:rsidR="00C05507" w:rsidRPr="00C05507" w:rsidRDefault="00C05507">
      <w:pPr>
        <w:pStyle w:val="Textonotapie"/>
        <w:rPr>
          <w:i/>
          <w:iCs/>
        </w:rPr>
      </w:pPr>
      <w:r>
        <w:rPr>
          <w:rStyle w:val="Refdenotaalpie"/>
        </w:rPr>
        <w:footnoteRef/>
      </w:r>
      <w:r>
        <w:t xml:space="preserve"> </w:t>
      </w:r>
      <w:r w:rsidRPr="00C05507">
        <w:rPr>
          <w:rFonts w:ascii="Roboto" w:hAnsi="Roboto" w:cs="Arial"/>
          <w:color w:val="373F56"/>
        </w:rPr>
        <w:t xml:space="preserve">Tribunal Electoral del Poder Judicial de la Federación, </w:t>
      </w:r>
      <w:r w:rsidRPr="00487FC7">
        <w:rPr>
          <w:rFonts w:ascii="Roboto" w:hAnsi="Roboto" w:cs="Arial"/>
          <w:i/>
          <w:iCs/>
          <w:color w:val="373F56"/>
        </w:rPr>
        <w:t>Expediente SUP-RAP-289/2024, (2024b).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4593FB" w14:textId="108C680C" w:rsidR="00AA6AFC" w:rsidRDefault="00C05507">
    <w:pPr>
      <w:pStyle w:val="Encabezado"/>
    </w:pPr>
    <w:r>
      <w:rPr>
        <w:noProof/>
      </w:rPr>
      <w:drawing>
        <wp:inline distT="0" distB="0" distL="0" distR="0" wp14:anchorId="7ED25F44" wp14:editId="24C6E08F">
          <wp:extent cx="1135380" cy="299129"/>
          <wp:effectExtent l="0" t="0" r="7620" b="5715"/>
          <wp:docPr id="13346162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438" cy="3038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2C082F"/>
    <w:multiLevelType w:val="hybridMultilevel"/>
    <w:tmpl w:val="3B22D1A4"/>
    <w:lvl w:ilvl="0" w:tplc="080A0001">
      <w:start w:val="1"/>
      <w:numFmt w:val="bullet"/>
      <w:lvlText w:val=""/>
      <w:lvlJc w:val="left"/>
      <w:pPr>
        <w:ind w:left="813" w:hanging="360"/>
      </w:pPr>
      <w:rPr>
        <w:rFonts w:ascii="Symbol" w:hAnsi="Symbol" w:hint="default"/>
      </w:rPr>
    </w:lvl>
    <w:lvl w:ilvl="1" w:tplc="080A0003" w:tentative="1">
      <w:start w:val="1"/>
      <w:numFmt w:val="bullet"/>
      <w:lvlText w:val="o"/>
      <w:lvlJc w:val="left"/>
      <w:pPr>
        <w:ind w:left="1533" w:hanging="360"/>
      </w:pPr>
      <w:rPr>
        <w:rFonts w:ascii="Courier New" w:hAnsi="Courier New" w:cs="Courier New" w:hint="default"/>
      </w:rPr>
    </w:lvl>
    <w:lvl w:ilvl="2" w:tplc="080A0005" w:tentative="1">
      <w:start w:val="1"/>
      <w:numFmt w:val="bullet"/>
      <w:lvlText w:val=""/>
      <w:lvlJc w:val="left"/>
      <w:pPr>
        <w:ind w:left="2253" w:hanging="360"/>
      </w:pPr>
      <w:rPr>
        <w:rFonts w:ascii="Wingdings" w:hAnsi="Wingdings" w:hint="default"/>
      </w:rPr>
    </w:lvl>
    <w:lvl w:ilvl="3" w:tplc="080A0001" w:tentative="1">
      <w:start w:val="1"/>
      <w:numFmt w:val="bullet"/>
      <w:lvlText w:val=""/>
      <w:lvlJc w:val="left"/>
      <w:pPr>
        <w:ind w:left="2973" w:hanging="360"/>
      </w:pPr>
      <w:rPr>
        <w:rFonts w:ascii="Symbol" w:hAnsi="Symbol" w:hint="default"/>
      </w:rPr>
    </w:lvl>
    <w:lvl w:ilvl="4" w:tplc="080A0003" w:tentative="1">
      <w:start w:val="1"/>
      <w:numFmt w:val="bullet"/>
      <w:lvlText w:val="o"/>
      <w:lvlJc w:val="left"/>
      <w:pPr>
        <w:ind w:left="3693" w:hanging="360"/>
      </w:pPr>
      <w:rPr>
        <w:rFonts w:ascii="Courier New" w:hAnsi="Courier New" w:cs="Courier New" w:hint="default"/>
      </w:rPr>
    </w:lvl>
    <w:lvl w:ilvl="5" w:tplc="080A0005" w:tentative="1">
      <w:start w:val="1"/>
      <w:numFmt w:val="bullet"/>
      <w:lvlText w:val=""/>
      <w:lvlJc w:val="left"/>
      <w:pPr>
        <w:ind w:left="4413" w:hanging="360"/>
      </w:pPr>
      <w:rPr>
        <w:rFonts w:ascii="Wingdings" w:hAnsi="Wingdings" w:hint="default"/>
      </w:rPr>
    </w:lvl>
    <w:lvl w:ilvl="6" w:tplc="080A0001" w:tentative="1">
      <w:start w:val="1"/>
      <w:numFmt w:val="bullet"/>
      <w:lvlText w:val=""/>
      <w:lvlJc w:val="left"/>
      <w:pPr>
        <w:ind w:left="5133" w:hanging="360"/>
      </w:pPr>
      <w:rPr>
        <w:rFonts w:ascii="Symbol" w:hAnsi="Symbol" w:hint="default"/>
      </w:rPr>
    </w:lvl>
    <w:lvl w:ilvl="7" w:tplc="080A0003" w:tentative="1">
      <w:start w:val="1"/>
      <w:numFmt w:val="bullet"/>
      <w:lvlText w:val="o"/>
      <w:lvlJc w:val="left"/>
      <w:pPr>
        <w:ind w:left="5853" w:hanging="360"/>
      </w:pPr>
      <w:rPr>
        <w:rFonts w:ascii="Courier New" w:hAnsi="Courier New" w:cs="Courier New" w:hint="default"/>
      </w:rPr>
    </w:lvl>
    <w:lvl w:ilvl="8" w:tplc="080A0005" w:tentative="1">
      <w:start w:val="1"/>
      <w:numFmt w:val="bullet"/>
      <w:lvlText w:val=""/>
      <w:lvlJc w:val="left"/>
      <w:pPr>
        <w:ind w:left="6573" w:hanging="360"/>
      </w:pPr>
      <w:rPr>
        <w:rFonts w:ascii="Wingdings" w:hAnsi="Wingdings" w:hint="default"/>
      </w:rPr>
    </w:lvl>
  </w:abstractNum>
  <w:abstractNum w:abstractNumId="1" w15:restartNumberingAfterBreak="0">
    <w:nsid w:val="179908DB"/>
    <w:multiLevelType w:val="hybridMultilevel"/>
    <w:tmpl w:val="7422DD4A"/>
    <w:lvl w:ilvl="0" w:tplc="1F149758">
      <w:numFmt w:val="bullet"/>
      <w:lvlText w:val="•"/>
      <w:lvlJc w:val="left"/>
      <w:pPr>
        <w:ind w:left="705" w:hanging="612"/>
      </w:pPr>
      <w:rPr>
        <w:rFonts w:ascii="Roboto" w:eastAsiaTheme="minorHAnsi" w:hAnsi="Roboto" w:cs="Arial" w:hint="default"/>
      </w:rPr>
    </w:lvl>
    <w:lvl w:ilvl="1" w:tplc="080A0003" w:tentative="1">
      <w:start w:val="1"/>
      <w:numFmt w:val="bullet"/>
      <w:lvlText w:val="o"/>
      <w:lvlJc w:val="left"/>
      <w:pPr>
        <w:ind w:left="1173" w:hanging="360"/>
      </w:pPr>
      <w:rPr>
        <w:rFonts w:ascii="Courier New" w:hAnsi="Courier New" w:cs="Courier New" w:hint="default"/>
      </w:rPr>
    </w:lvl>
    <w:lvl w:ilvl="2" w:tplc="080A0005" w:tentative="1">
      <w:start w:val="1"/>
      <w:numFmt w:val="bullet"/>
      <w:lvlText w:val=""/>
      <w:lvlJc w:val="left"/>
      <w:pPr>
        <w:ind w:left="1893" w:hanging="360"/>
      </w:pPr>
      <w:rPr>
        <w:rFonts w:ascii="Wingdings" w:hAnsi="Wingdings" w:hint="default"/>
      </w:rPr>
    </w:lvl>
    <w:lvl w:ilvl="3" w:tplc="080A0001" w:tentative="1">
      <w:start w:val="1"/>
      <w:numFmt w:val="bullet"/>
      <w:lvlText w:val=""/>
      <w:lvlJc w:val="left"/>
      <w:pPr>
        <w:ind w:left="2613" w:hanging="360"/>
      </w:pPr>
      <w:rPr>
        <w:rFonts w:ascii="Symbol" w:hAnsi="Symbol" w:hint="default"/>
      </w:rPr>
    </w:lvl>
    <w:lvl w:ilvl="4" w:tplc="080A0003" w:tentative="1">
      <w:start w:val="1"/>
      <w:numFmt w:val="bullet"/>
      <w:lvlText w:val="o"/>
      <w:lvlJc w:val="left"/>
      <w:pPr>
        <w:ind w:left="3333" w:hanging="360"/>
      </w:pPr>
      <w:rPr>
        <w:rFonts w:ascii="Courier New" w:hAnsi="Courier New" w:cs="Courier New" w:hint="default"/>
      </w:rPr>
    </w:lvl>
    <w:lvl w:ilvl="5" w:tplc="080A0005" w:tentative="1">
      <w:start w:val="1"/>
      <w:numFmt w:val="bullet"/>
      <w:lvlText w:val=""/>
      <w:lvlJc w:val="left"/>
      <w:pPr>
        <w:ind w:left="4053" w:hanging="360"/>
      </w:pPr>
      <w:rPr>
        <w:rFonts w:ascii="Wingdings" w:hAnsi="Wingdings" w:hint="default"/>
      </w:rPr>
    </w:lvl>
    <w:lvl w:ilvl="6" w:tplc="080A0001" w:tentative="1">
      <w:start w:val="1"/>
      <w:numFmt w:val="bullet"/>
      <w:lvlText w:val=""/>
      <w:lvlJc w:val="left"/>
      <w:pPr>
        <w:ind w:left="4773" w:hanging="360"/>
      </w:pPr>
      <w:rPr>
        <w:rFonts w:ascii="Symbol" w:hAnsi="Symbol" w:hint="default"/>
      </w:rPr>
    </w:lvl>
    <w:lvl w:ilvl="7" w:tplc="080A0003" w:tentative="1">
      <w:start w:val="1"/>
      <w:numFmt w:val="bullet"/>
      <w:lvlText w:val="o"/>
      <w:lvlJc w:val="left"/>
      <w:pPr>
        <w:ind w:left="5493" w:hanging="360"/>
      </w:pPr>
      <w:rPr>
        <w:rFonts w:ascii="Courier New" w:hAnsi="Courier New" w:cs="Courier New" w:hint="default"/>
      </w:rPr>
    </w:lvl>
    <w:lvl w:ilvl="8" w:tplc="080A0005" w:tentative="1">
      <w:start w:val="1"/>
      <w:numFmt w:val="bullet"/>
      <w:lvlText w:val=""/>
      <w:lvlJc w:val="left"/>
      <w:pPr>
        <w:ind w:left="6213" w:hanging="360"/>
      </w:pPr>
      <w:rPr>
        <w:rFonts w:ascii="Wingdings" w:hAnsi="Wingdings" w:hint="default"/>
      </w:rPr>
    </w:lvl>
  </w:abstractNum>
  <w:abstractNum w:abstractNumId="2" w15:restartNumberingAfterBreak="0">
    <w:nsid w:val="3257018D"/>
    <w:multiLevelType w:val="multilevel"/>
    <w:tmpl w:val="CA2237AE"/>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tabs>
          <w:tab w:val="num" w:pos="1893"/>
        </w:tabs>
        <w:ind w:left="1893" w:hanging="360"/>
      </w:pPr>
      <w:rPr>
        <w:b/>
        <w:bCs/>
      </w:r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abstractNum w:abstractNumId="3" w15:restartNumberingAfterBreak="0">
    <w:nsid w:val="6E910D0A"/>
    <w:multiLevelType w:val="multilevel"/>
    <w:tmpl w:val="894E154C"/>
    <w:lvl w:ilvl="0">
      <w:start w:val="1"/>
      <w:numFmt w:val="decimal"/>
      <w:lvlText w:val="%1."/>
      <w:lvlJc w:val="left"/>
      <w:pPr>
        <w:tabs>
          <w:tab w:val="num" w:pos="-267"/>
        </w:tabs>
        <w:ind w:left="-267" w:hanging="360"/>
      </w:pPr>
    </w:lvl>
    <w:lvl w:ilvl="1">
      <w:start w:val="1"/>
      <w:numFmt w:val="bullet"/>
      <w:lvlText w:val=""/>
      <w:lvlJc w:val="left"/>
      <w:pPr>
        <w:ind w:left="453" w:hanging="360"/>
      </w:pPr>
      <w:rPr>
        <w:rFonts w:ascii="Symbol" w:hAnsi="Symbol" w:hint="default"/>
      </w:r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abstractNum w:abstractNumId="4" w15:restartNumberingAfterBreak="0">
    <w:nsid w:val="76323A57"/>
    <w:multiLevelType w:val="multilevel"/>
    <w:tmpl w:val="E96C525A"/>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num w:numId="1" w16cid:durableId="1443181711">
    <w:abstractNumId w:val="2"/>
  </w:num>
  <w:num w:numId="2" w16cid:durableId="1590844648">
    <w:abstractNumId w:val="4"/>
  </w:num>
  <w:num w:numId="3" w16cid:durableId="1480539671">
    <w:abstractNumId w:val="3"/>
  </w:num>
  <w:num w:numId="4" w16cid:durableId="1158349660">
    <w:abstractNumId w:val="0"/>
  </w:num>
  <w:num w:numId="5" w16cid:durableId="9272338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4B"/>
    <w:rsid w:val="000B1613"/>
    <w:rsid w:val="0015342C"/>
    <w:rsid w:val="00184E64"/>
    <w:rsid w:val="001C4015"/>
    <w:rsid w:val="001F7294"/>
    <w:rsid w:val="002216F6"/>
    <w:rsid w:val="00272F0D"/>
    <w:rsid w:val="00382D22"/>
    <w:rsid w:val="003F2EE0"/>
    <w:rsid w:val="00413A8F"/>
    <w:rsid w:val="00487FC7"/>
    <w:rsid w:val="004E7FD3"/>
    <w:rsid w:val="005035CA"/>
    <w:rsid w:val="00567923"/>
    <w:rsid w:val="00574C8A"/>
    <w:rsid w:val="00592248"/>
    <w:rsid w:val="006F21C6"/>
    <w:rsid w:val="006F6B84"/>
    <w:rsid w:val="00701446"/>
    <w:rsid w:val="00745D2F"/>
    <w:rsid w:val="00746311"/>
    <w:rsid w:val="00752C68"/>
    <w:rsid w:val="00775427"/>
    <w:rsid w:val="007A2A4B"/>
    <w:rsid w:val="0080301F"/>
    <w:rsid w:val="008076F1"/>
    <w:rsid w:val="0081054B"/>
    <w:rsid w:val="008321AF"/>
    <w:rsid w:val="00856A3F"/>
    <w:rsid w:val="00872B2A"/>
    <w:rsid w:val="008B3E87"/>
    <w:rsid w:val="008E466F"/>
    <w:rsid w:val="009B43F2"/>
    <w:rsid w:val="009F3FF3"/>
    <w:rsid w:val="00A42081"/>
    <w:rsid w:val="00A43A3A"/>
    <w:rsid w:val="00A52354"/>
    <w:rsid w:val="00AA6AFC"/>
    <w:rsid w:val="00AC0B9E"/>
    <w:rsid w:val="00B9441A"/>
    <w:rsid w:val="00B94AE2"/>
    <w:rsid w:val="00BA101D"/>
    <w:rsid w:val="00C04934"/>
    <w:rsid w:val="00C05507"/>
    <w:rsid w:val="00C43960"/>
    <w:rsid w:val="00C52D31"/>
    <w:rsid w:val="00CA578E"/>
    <w:rsid w:val="00D2140B"/>
    <w:rsid w:val="00DE1068"/>
    <w:rsid w:val="00DF1972"/>
    <w:rsid w:val="00E1362F"/>
    <w:rsid w:val="00E3741C"/>
    <w:rsid w:val="00E567B5"/>
    <w:rsid w:val="00E56B8A"/>
    <w:rsid w:val="00E9611A"/>
    <w:rsid w:val="00EA3935"/>
    <w:rsid w:val="00EB04A6"/>
    <w:rsid w:val="00EC1745"/>
    <w:rsid w:val="00EF2AE7"/>
    <w:rsid w:val="00FD02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1523"/>
  <w15:chartTrackingRefBased/>
  <w15:docId w15:val="{485AE3E9-E237-48FB-B21B-90D62F1B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2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A2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A2A4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7A2A4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A2A4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A2A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2A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2A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2A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2A4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A2A4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A2A4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7A2A4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A2A4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A2A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2A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2A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2A4B"/>
    <w:rPr>
      <w:rFonts w:eastAsiaTheme="majorEastAsia" w:cstheme="majorBidi"/>
      <w:color w:val="272727" w:themeColor="text1" w:themeTint="D8"/>
    </w:rPr>
  </w:style>
  <w:style w:type="paragraph" w:styleId="Ttulo">
    <w:name w:val="Title"/>
    <w:basedOn w:val="Normal"/>
    <w:next w:val="Normal"/>
    <w:link w:val="TtuloCar"/>
    <w:uiPriority w:val="10"/>
    <w:qFormat/>
    <w:rsid w:val="007A2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2A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2A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2A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2A4B"/>
    <w:pPr>
      <w:spacing w:before="160"/>
      <w:jc w:val="center"/>
    </w:pPr>
    <w:rPr>
      <w:i/>
      <w:iCs/>
      <w:color w:val="404040" w:themeColor="text1" w:themeTint="BF"/>
    </w:rPr>
  </w:style>
  <w:style w:type="character" w:customStyle="1" w:styleId="CitaCar">
    <w:name w:val="Cita Car"/>
    <w:basedOn w:val="Fuentedeprrafopredeter"/>
    <w:link w:val="Cita"/>
    <w:uiPriority w:val="29"/>
    <w:rsid w:val="007A2A4B"/>
    <w:rPr>
      <w:i/>
      <w:iCs/>
      <w:color w:val="404040" w:themeColor="text1" w:themeTint="BF"/>
    </w:rPr>
  </w:style>
  <w:style w:type="paragraph" w:styleId="Prrafodelista">
    <w:name w:val="List Paragraph"/>
    <w:aliases w:val="CNBV Parrafo1,Párrafo de lista1,Listas,AB List 1,Bullet Points,Bullet List,FooterText,numbered,Paragraphe de liste1,List Paragraph1,Bulletr List Paragraph,Parrafo 1,List Paragraph-Thesis,Dot pt,List Paragraph Char Char Char,Bullet 1,lp1"/>
    <w:basedOn w:val="Normal"/>
    <w:link w:val="PrrafodelistaCar"/>
    <w:uiPriority w:val="34"/>
    <w:qFormat/>
    <w:rsid w:val="007A2A4B"/>
    <w:pPr>
      <w:ind w:left="720"/>
      <w:contextualSpacing/>
    </w:pPr>
  </w:style>
  <w:style w:type="character" w:styleId="nfasisintenso">
    <w:name w:val="Intense Emphasis"/>
    <w:basedOn w:val="Fuentedeprrafopredeter"/>
    <w:uiPriority w:val="21"/>
    <w:qFormat/>
    <w:rsid w:val="007A2A4B"/>
    <w:rPr>
      <w:i/>
      <w:iCs/>
      <w:color w:val="2F5496" w:themeColor="accent1" w:themeShade="BF"/>
    </w:rPr>
  </w:style>
  <w:style w:type="paragraph" w:styleId="Citadestacada">
    <w:name w:val="Intense Quote"/>
    <w:basedOn w:val="Normal"/>
    <w:next w:val="Normal"/>
    <w:link w:val="CitadestacadaCar"/>
    <w:uiPriority w:val="30"/>
    <w:qFormat/>
    <w:rsid w:val="007A2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2A4B"/>
    <w:rPr>
      <w:i/>
      <w:iCs/>
      <w:color w:val="2F5496" w:themeColor="accent1" w:themeShade="BF"/>
    </w:rPr>
  </w:style>
  <w:style w:type="character" w:styleId="Referenciaintensa">
    <w:name w:val="Intense Reference"/>
    <w:basedOn w:val="Fuentedeprrafopredeter"/>
    <w:uiPriority w:val="32"/>
    <w:qFormat/>
    <w:rsid w:val="007A2A4B"/>
    <w:rPr>
      <w:b/>
      <w:bCs/>
      <w:smallCaps/>
      <w:color w:val="2F5496" w:themeColor="accent1" w:themeShade="BF"/>
      <w:spacing w:val="5"/>
    </w:rPr>
  </w:style>
  <w:style w:type="character" w:customStyle="1" w:styleId="normaltextrun">
    <w:name w:val="normaltextrun"/>
    <w:basedOn w:val="Fuentedeprrafopredeter"/>
    <w:rsid w:val="007A2A4B"/>
  </w:style>
  <w:style w:type="paragraph" w:styleId="Encabezado">
    <w:name w:val="header"/>
    <w:basedOn w:val="Normal"/>
    <w:link w:val="EncabezadoCar"/>
    <w:uiPriority w:val="99"/>
    <w:unhideWhenUsed/>
    <w:rsid w:val="00DE106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E1068"/>
  </w:style>
  <w:style w:type="paragraph" w:styleId="Piedepgina">
    <w:name w:val="footer"/>
    <w:basedOn w:val="Normal"/>
    <w:link w:val="PiedepginaCar"/>
    <w:uiPriority w:val="99"/>
    <w:unhideWhenUsed/>
    <w:rsid w:val="00DE106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E1068"/>
  </w:style>
  <w:style w:type="paragraph" w:styleId="TDC2">
    <w:name w:val="toc 2"/>
    <w:basedOn w:val="Normal"/>
    <w:next w:val="Normal"/>
    <w:autoRedefine/>
    <w:uiPriority w:val="39"/>
    <w:unhideWhenUsed/>
    <w:rsid w:val="00DE1068"/>
    <w:pPr>
      <w:spacing w:after="100" w:line="278" w:lineRule="auto"/>
      <w:ind w:left="240"/>
      <w:jc w:val="both"/>
    </w:pPr>
    <w:rPr>
      <w:sz w:val="24"/>
      <w:szCs w:val="24"/>
    </w:rPr>
  </w:style>
  <w:style w:type="paragraph" w:styleId="Textonotapie">
    <w:name w:val="footnote text"/>
    <w:basedOn w:val="Normal"/>
    <w:link w:val="TextonotapieCar"/>
    <w:uiPriority w:val="99"/>
    <w:unhideWhenUsed/>
    <w:rsid w:val="00DE1068"/>
    <w:pPr>
      <w:spacing w:after="0" w:line="240" w:lineRule="auto"/>
    </w:pPr>
    <w:rPr>
      <w:rFonts w:ascii="Arial" w:hAnsi="Arial"/>
      <w:sz w:val="20"/>
      <w:szCs w:val="20"/>
    </w:rPr>
  </w:style>
  <w:style w:type="character" w:customStyle="1" w:styleId="TextonotapieCar">
    <w:name w:val="Texto nota pie Car"/>
    <w:basedOn w:val="Fuentedeprrafopredeter"/>
    <w:link w:val="Textonotapie"/>
    <w:uiPriority w:val="99"/>
    <w:rsid w:val="00DE1068"/>
    <w:rPr>
      <w:rFonts w:ascii="Arial" w:hAnsi="Arial"/>
      <w:sz w:val="20"/>
      <w:szCs w:val="20"/>
    </w:rPr>
  </w:style>
  <w:style w:type="character" w:styleId="Refdenotaalpie">
    <w:name w:val="footnote reference"/>
    <w:basedOn w:val="Fuentedeprrafopredeter"/>
    <w:uiPriority w:val="99"/>
    <w:semiHidden/>
    <w:unhideWhenUsed/>
    <w:rsid w:val="00DE1068"/>
    <w:rPr>
      <w:vertAlign w:val="superscript"/>
    </w:rPr>
  </w:style>
  <w:style w:type="character" w:customStyle="1" w:styleId="PrrafodelistaCar">
    <w:name w:val="Párrafo de lista Car"/>
    <w:aliases w:val="CNBV Parrafo1 Car,Párrafo de lista1 Car,Listas Car,AB List 1 Car,Bullet Points Car,Bullet List Car,FooterText Car,numbered Car,Paragraphe de liste1 Car,List Paragraph1 Car,Bulletr List Paragraph Car,Parrafo 1 Car,Dot pt Car,lp1 Car"/>
    <w:link w:val="Prrafodelista"/>
    <w:uiPriority w:val="34"/>
    <w:qFormat/>
    <w:rsid w:val="00CA5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F9BC7-5FAA-41F8-B4D4-131E793BA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832</Characters>
  <Application>Microsoft Office Word</Application>
  <DocSecurity>0</DocSecurity>
  <Lines>39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Ortiz</dc:creator>
  <cp:keywords/>
  <dc:description/>
  <cp:lastModifiedBy>Direccion</cp:lastModifiedBy>
  <cp:revision>2</cp:revision>
  <cp:lastPrinted>2025-08-01T16:31:00Z</cp:lastPrinted>
  <dcterms:created xsi:type="dcterms:W3CDTF">2026-10-03T19:36:00Z</dcterms:created>
  <dcterms:modified xsi:type="dcterms:W3CDTF">2026-10-03T19:36:00Z</dcterms:modified>
</cp:coreProperties>
</file>