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463DB1" w14:textId="77777777" w:rsidR="001109A7" w:rsidRPr="005D7D6B" w:rsidRDefault="001109A7" w:rsidP="005D7D6B">
      <w:pPr>
        <w:pStyle w:val="p1"/>
        <w:spacing w:before="120" w:line="276" w:lineRule="auto"/>
        <w:rPr>
          <w:rFonts w:ascii="Roboto" w:eastAsiaTheme="minorHAnsi" w:hAnsi="Roboto"/>
          <w:b/>
          <w:bCs/>
          <w:color w:val="373F56"/>
          <w:kern w:val="2"/>
          <w:sz w:val="24"/>
          <w:szCs w:val="24"/>
          <w:lang w:eastAsia="en-US"/>
          <w14:ligatures w14:val="standardContextual"/>
        </w:rPr>
      </w:pPr>
    </w:p>
    <w:p w14:paraId="04F10FBB" w14:textId="5368D23C" w:rsidR="00CB2B49" w:rsidRPr="005D7D6B" w:rsidRDefault="00CB2B49" w:rsidP="005D7D6B">
      <w:pPr>
        <w:pStyle w:val="p1"/>
        <w:spacing w:before="120" w:line="276" w:lineRule="auto"/>
        <w:ind w:left="20"/>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Sentencia de la Sala Superior del Tribunal Electoral del Poder Judicial de la Federación confirma la resolución INE/CG853/2024</w:t>
      </w:r>
      <w:r w:rsidRPr="005D7D6B">
        <w:rPr>
          <w:rStyle w:val="Refdenotaalpie"/>
          <w:rFonts w:ascii="Roboto" w:eastAsiaTheme="minorHAnsi" w:hAnsi="Roboto"/>
          <w:b/>
          <w:bCs/>
          <w:color w:val="373F56"/>
          <w:kern w:val="2"/>
          <w:sz w:val="24"/>
          <w:szCs w:val="24"/>
          <w:lang w:eastAsia="en-US"/>
          <w14:ligatures w14:val="standardContextual"/>
        </w:rPr>
        <w:footnoteReference w:id="1"/>
      </w:r>
    </w:p>
    <w:p w14:paraId="5D87C0BD" w14:textId="0C005CB4" w:rsidR="00282556" w:rsidRPr="005D7D6B" w:rsidRDefault="00282556" w:rsidP="005D7D6B">
      <w:pPr>
        <w:pStyle w:val="p1"/>
        <w:numPr>
          <w:ilvl w:val="0"/>
          <w:numId w:val="6"/>
        </w:numPr>
        <w:spacing w:before="120" w:line="276" w:lineRule="auto"/>
        <w:ind w:left="284" w:hanging="264"/>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ASPECTOS GENERALES</w:t>
      </w:r>
    </w:p>
    <w:p w14:paraId="004E6105" w14:textId="7B15BE6C" w:rsidR="00282556" w:rsidRPr="005D7D6B" w:rsidRDefault="00282556" w:rsidP="005D7D6B">
      <w:pPr>
        <w:spacing w:before="120" w:after="0" w:line="276" w:lineRule="auto"/>
        <w:jc w:val="both"/>
        <w:rPr>
          <w:rFonts w:ascii="Roboto" w:hAnsi="Roboto" w:cs="Arial"/>
          <w:color w:val="373F56"/>
          <w:sz w:val="24"/>
          <w:szCs w:val="24"/>
        </w:rPr>
      </w:pPr>
      <w:r w:rsidRPr="005D7D6B">
        <w:rPr>
          <w:rFonts w:ascii="Roboto" w:hAnsi="Roboto" w:cs="Arial"/>
          <w:color w:val="373F56"/>
          <w:sz w:val="24"/>
          <w:szCs w:val="24"/>
        </w:rPr>
        <w:t>El asunto tiene relación con la resolución del procedimiento sancionador ordinario UT/SCG/Q/CVRM/JD01/30/2024, en el cual se acreditó la infracción atribuida a MORENA consistente en la indebida afiliación y uso de datos personales de una ciudadana y, en consecuencia, se le impuso una multa equivalente a $133,202.16 (Ciento treinta y tres mil doscientos dos pesos 16/100 M.N).</w:t>
      </w:r>
    </w:p>
    <w:p w14:paraId="64ECA4AE" w14:textId="0C37270E"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En desacuerdo, el partido político Morena interpuso ante la Sala Superior del Tribunal Electoral del Poder Judicial de la Federación un medio de impugnación con la pretensión de que se revoque la acreditación de la infracción y la multa impuesta.</w:t>
      </w:r>
    </w:p>
    <w:p w14:paraId="3CC5ADDD" w14:textId="77777777" w:rsidR="005D7D6B" w:rsidRPr="005D7D6B" w:rsidRDefault="005D7D6B" w:rsidP="005D7D6B">
      <w:pPr>
        <w:pStyle w:val="p1"/>
        <w:spacing w:before="120" w:line="276" w:lineRule="auto"/>
        <w:jc w:val="both"/>
        <w:rPr>
          <w:rFonts w:ascii="Roboto" w:eastAsiaTheme="minorHAnsi" w:hAnsi="Roboto"/>
          <w:color w:val="373F56"/>
          <w:kern w:val="2"/>
          <w:sz w:val="24"/>
          <w:szCs w:val="24"/>
          <w:lang w:eastAsia="en-US"/>
          <w14:ligatures w14:val="standardContextual"/>
        </w:rPr>
      </w:pPr>
    </w:p>
    <w:p w14:paraId="65769D12" w14:textId="77777777" w:rsidR="00282556" w:rsidRPr="005D7D6B" w:rsidRDefault="00282556" w:rsidP="005D7D6B">
      <w:pPr>
        <w:pStyle w:val="p1"/>
        <w:spacing w:before="120" w:line="276" w:lineRule="auto"/>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II. ANTECEDENTES</w:t>
      </w:r>
    </w:p>
    <w:p w14:paraId="1274B108"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De lo narrado por la parte recurrente y de las constancias que obran en el expediente, se advierten los hechos siguientes:</w:t>
      </w:r>
    </w:p>
    <w:p w14:paraId="21B82C31" w14:textId="2429712F" w:rsidR="00282556" w:rsidRPr="005D7D6B" w:rsidRDefault="00282556" w:rsidP="005D7D6B">
      <w:pPr>
        <w:pStyle w:val="p1"/>
        <w:spacing w:before="120" w:line="276" w:lineRule="auto"/>
        <w:jc w:val="both"/>
        <w:rPr>
          <w:rFonts w:ascii="Roboto" w:eastAsiaTheme="minorHAnsi" w:hAnsi="Roboto"/>
          <w:color w:val="373F56"/>
          <w:kern w:val="2"/>
          <w:sz w:val="24"/>
          <w:szCs w:val="24"/>
          <w:vertAlign w:val="superscript"/>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1. Denuncia</w:t>
      </w:r>
      <w:r w:rsidRPr="005D7D6B">
        <w:rPr>
          <w:rFonts w:ascii="Roboto" w:eastAsiaTheme="minorHAnsi" w:hAnsi="Roboto"/>
          <w:color w:val="373F56"/>
          <w:kern w:val="2"/>
          <w:sz w:val="24"/>
          <w:szCs w:val="24"/>
          <w:lang w:eastAsia="en-US"/>
          <w14:ligatures w14:val="standardContextual"/>
        </w:rPr>
        <w:t>. El dieciséis de enero, una ciudadana presentó escrito de queja en contra de la posible vulneración a su derecho político de libre afiliación en su modalidad positiva -indebida afiliación- atribuida a MORENA y, en su caso, el uso de sus datos personales.</w:t>
      </w:r>
      <w:r w:rsidR="00890C05" w:rsidRPr="005D7D6B">
        <w:rPr>
          <w:rFonts w:ascii="Roboto" w:eastAsiaTheme="minorHAnsi" w:hAnsi="Roboto"/>
          <w:sz w:val="24"/>
          <w:szCs w:val="24"/>
          <w:vertAlign w:val="superscript"/>
        </w:rPr>
        <w:footnoteReference w:id="2"/>
      </w:r>
    </w:p>
    <w:p w14:paraId="318414B1" w14:textId="7386DF0C"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2. Procedimiento sancionador ordinario.</w:t>
      </w:r>
      <w:r w:rsidRPr="005D7D6B">
        <w:rPr>
          <w:rFonts w:ascii="Roboto" w:eastAsiaTheme="minorHAnsi" w:hAnsi="Roboto"/>
          <w:color w:val="373F56"/>
          <w:kern w:val="2"/>
          <w:sz w:val="24"/>
          <w:szCs w:val="24"/>
          <w:lang w:eastAsia="en-US"/>
          <w14:ligatures w14:val="standardContextual"/>
        </w:rPr>
        <w:t xml:space="preserve"> Por acuerdo de veinticuatro de enero, el titular de la Unidad Técnica de lo Contencioso Electoral</w:t>
      </w:r>
      <w:r w:rsidR="00890C05" w:rsidRPr="005D7D6B">
        <w:rPr>
          <w:rStyle w:val="Refdenotaalpie"/>
          <w:rFonts w:ascii="Roboto" w:eastAsiaTheme="minorHAnsi" w:hAnsi="Roboto"/>
          <w:color w:val="373F56"/>
          <w:kern w:val="2"/>
          <w:sz w:val="24"/>
          <w:szCs w:val="24"/>
          <w:lang w:eastAsia="en-US"/>
          <w14:ligatures w14:val="standardContextual"/>
        </w:rPr>
        <w:footnoteReference w:id="3"/>
      </w:r>
      <w:r w:rsidR="00890C05" w:rsidRPr="005D7D6B">
        <w:rPr>
          <w:rFonts w:ascii="Roboto" w:eastAsiaTheme="minorHAnsi" w:hAnsi="Roboto"/>
          <w:color w:val="373F56"/>
          <w:kern w:val="2"/>
          <w:sz w:val="24"/>
          <w:szCs w:val="24"/>
          <w:lang w:eastAsia="en-US"/>
          <w14:ligatures w14:val="standardContextual"/>
        </w:rPr>
        <w:t xml:space="preserve"> </w:t>
      </w:r>
      <w:r w:rsidRPr="005D7D6B">
        <w:rPr>
          <w:rFonts w:ascii="Roboto" w:eastAsiaTheme="minorHAnsi" w:hAnsi="Roboto"/>
          <w:color w:val="373F56"/>
          <w:kern w:val="2"/>
          <w:sz w:val="24"/>
          <w:szCs w:val="24"/>
          <w:lang w:eastAsia="en-US"/>
          <w14:ligatures w14:val="standardContextual"/>
        </w:rPr>
        <w:t>del INE registró la denuncia bajo el número de expediente UT/SCG/Q/CVRM/JD01/BC/30/2024 y ordenó diversas diligencias de investigación.</w:t>
      </w:r>
    </w:p>
    <w:p w14:paraId="331A8951"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3. Admisión y emplazamiento.</w:t>
      </w:r>
      <w:r w:rsidRPr="005D7D6B">
        <w:rPr>
          <w:rFonts w:ascii="Roboto" w:eastAsiaTheme="minorHAnsi" w:hAnsi="Roboto"/>
          <w:color w:val="373F56"/>
          <w:kern w:val="2"/>
          <w:sz w:val="24"/>
          <w:szCs w:val="24"/>
          <w:lang w:eastAsia="en-US"/>
          <w14:ligatures w14:val="standardContextual"/>
        </w:rPr>
        <w:t xml:space="preserve"> El quince de febrero, entre otras cuestiones, se admitió a trámite la denuncia y se ordenó emplazar a MORENA como sujeto denunciado.</w:t>
      </w:r>
    </w:p>
    <w:p w14:paraId="1C12B90D"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4. Resolución impugnada.</w:t>
      </w:r>
      <w:r w:rsidRPr="005D7D6B">
        <w:rPr>
          <w:rFonts w:ascii="Roboto" w:eastAsiaTheme="minorHAnsi" w:hAnsi="Roboto"/>
          <w:color w:val="373F56"/>
          <w:kern w:val="2"/>
          <w:sz w:val="24"/>
          <w:szCs w:val="24"/>
          <w:lang w:eastAsia="en-US"/>
          <w14:ligatures w14:val="standardContextual"/>
        </w:rPr>
        <w:t xml:space="preserve"> El veintidós de julio, el CG del INE resolvió el procedimiento sancionador, en el cual tuvo por acreditada la infracción atribuida a MORENA e impuso una multa equivalente a $133,202.16 (Ciento treinta y tres mil doscientos dos pesos 16/100 M.N).</w:t>
      </w:r>
    </w:p>
    <w:p w14:paraId="1551EC49"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5. Recurso de apelación.</w:t>
      </w:r>
      <w:r w:rsidRPr="005D7D6B">
        <w:rPr>
          <w:rFonts w:ascii="Roboto" w:eastAsiaTheme="minorHAnsi" w:hAnsi="Roboto"/>
          <w:color w:val="373F56"/>
          <w:kern w:val="2"/>
          <w:sz w:val="24"/>
          <w:szCs w:val="24"/>
          <w:lang w:eastAsia="en-US"/>
          <w14:ligatures w14:val="standardContextual"/>
        </w:rPr>
        <w:t xml:space="preserve"> Inconforme, el veintiséis de julio, MORENA a través de su representante propietario, presentó ante la autoridad responsable demanda de recurso de apelación.</w:t>
      </w:r>
    </w:p>
    <w:p w14:paraId="02E267B8"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p>
    <w:p w14:paraId="42B19DFD" w14:textId="77777777" w:rsidR="00282556" w:rsidRPr="005D7D6B" w:rsidRDefault="00282556" w:rsidP="005D7D6B">
      <w:pPr>
        <w:pStyle w:val="p1"/>
        <w:spacing w:before="120" w:line="276" w:lineRule="auto"/>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lastRenderedPageBreak/>
        <w:t>III. TRÁMITE</w:t>
      </w:r>
    </w:p>
    <w:p w14:paraId="3306C9D5" w14:textId="0D591AD3"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(9)</w:t>
      </w:r>
      <w:r w:rsidRPr="005D7D6B">
        <w:rPr>
          <w:rFonts w:ascii="Roboto" w:eastAsiaTheme="minorHAnsi" w:hAnsi="Roboto"/>
          <w:color w:val="373F56"/>
          <w:kern w:val="2"/>
          <w:sz w:val="24"/>
          <w:szCs w:val="24"/>
          <w:lang w:eastAsia="en-US"/>
          <w14:ligatures w14:val="standardContextual"/>
        </w:rPr>
        <w:t xml:space="preserve"> </w:t>
      </w:r>
      <w:r w:rsidRPr="005D7D6B">
        <w:rPr>
          <w:rFonts w:ascii="Roboto" w:eastAsiaTheme="minorHAnsi" w:hAnsi="Roboto"/>
          <w:b/>
          <w:bCs/>
          <w:color w:val="373F56"/>
          <w:kern w:val="2"/>
          <w:sz w:val="24"/>
          <w:szCs w:val="24"/>
          <w:lang w:eastAsia="en-US"/>
          <w14:ligatures w14:val="standardContextual"/>
        </w:rPr>
        <w:t>Turno.</w:t>
      </w:r>
      <w:r w:rsidRPr="005D7D6B">
        <w:rPr>
          <w:rFonts w:ascii="Roboto" w:eastAsiaTheme="minorHAnsi" w:hAnsi="Roboto"/>
          <w:color w:val="373F56"/>
          <w:kern w:val="2"/>
          <w:sz w:val="24"/>
          <w:szCs w:val="24"/>
          <w:lang w:eastAsia="en-US"/>
          <w14:ligatures w14:val="standardContextual"/>
        </w:rPr>
        <w:t xml:space="preserve"> Mediante acuerdo de uno de agosto, la magistrada presidenta turnó el expediente SUP-RAP-289/2024, a la ponencia del magistrado Felipe Alfredo Fuentes Barrera, para los efectos previstos en el artículo 19 de la Ley General del Sistema de Medios de Impugnación en Materia Electoral.</w:t>
      </w:r>
      <w:r w:rsidR="00890C05" w:rsidRPr="005D7D6B">
        <w:rPr>
          <w:rStyle w:val="Refdenotaalpie"/>
          <w:rFonts w:ascii="Roboto" w:eastAsiaTheme="minorHAnsi" w:hAnsi="Roboto"/>
          <w:color w:val="373F56"/>
          <w:kern w:val="2"/>
          <w:sz w:val="24"/>
          <w:szCs w:val="24"/>
          <w:lang w:eastAsia="en-US"/>
          <w14:ligatures w14:val="standardContextual"/>
        </w:rPr>
        <w:footnoteReference w:id="4"/>
      </w:r>
    </w:p>
    <w:p w14:paraId="2679AF78"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(10) Radicación</w:t>
      </w:r>
      <w:r w:rsidRPr="005D7D6B">
        <w:rPr>
          <w:rFonts w:ascii="Roboto" w:eastAsiaTheme="minorHAnsi" w:hAnsi="Roboto"/>
          <w:color w:val="373F56"/>
          <w:kern w:val="2"/>
          <w:sz w:val="24"/>
          <w:szCs w:val="24"/>
          <w:lang w:eastAsia="en-US"/>
          <w14:ligatures w14:val="standardContextual"/>
        </w:rPr>
        <w:t>. En su oportunidad, el magistrado instructor radicó el expediente en la ponencia a su cargo.</w:t>
      </w:r>
    </w:p>
    <w:p w14:paraId="254D6630"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(11) Cierre de instrucción.</w:t>
      </w:r>
      <w:r w:rsidRPr="005D7D6B">
        <w:rPr>
          <w:rFonts w:ascii="Roboto" w:eastAsiaTheme="minorHAnsi" w:hAnsi="Roboto"/>
          <w:color w:val="373F56"/>
          <w:kern w:val="2"/>
          <w:sz w:val="24"/>
          <w:szCs w:val="24"/>
          <w:lang w:eastAsia="en-US"/>
          <w14:ligatures w14:val="standardContextual"/>
        </w:rPr>
        <w:t xml:space="preserve"> El magistrado instructor declaró el cierre de instrucción y ordenó emitir el proyecto de resolución.</w:t>
      </w:r>
    </w:p>
    <w:p w14:paraId="2555FFE1"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p>
    <w:p w14:paraId="6F46164E" w14:textId="77777777" w:rsidR="00282556" w:rsidRPr="005D7D6B" w:rsidRDefault="00282556" w:rsidP="005D7D6B">
      <w:pPr>
        <w:pStyle w:val="p1"/>
        <w:spacing w:before="120" w:line="276" w:lineRule="auto"/>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IV. COMPETENCIA</w:t>
      </w:r>
    </w:p>
    <w:p w14:paraId="6ED297AF" w14:textId="73123E41"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(12)</w:t>
      </w:r>
      <w:r w:rsidRPr="005D7D6B">
        <w:rPr>
          <w:rFonts w:ascii="Roboto" w:eastAsiaTheme="minorHAnsi" w:hAnsi="Roboto"/>
          <w:color w:val="373F56"/>
          <w:kern w:val="2"/>
          <w:sz w:val="24"/>
          <w:szCs w:val="24"/>
          <w:lang w:eastAsia="en-US"/>
          <w14:ligatures w14:val="standardContextual"/>
        </w:rPr>
        <w:t xml:space="preserve"> Esta Sala Superior es competente para conocer y resolver el recurso de Apelación</w:t>
      </w:r>
      <w:r w:rsidR="00890C05" w:rsidRPr="005D7D6B">
        <w:rPr>
          <w:rFonts w:ascii="Roboto" w:eastAsiaTheme="minorHAnsi" w:hAnsi="Roboto"/>
          <w:color w:val="373F56"/>
          <w:kern w:val="2"/>
          <w:sz w:val="24"/>
          <w:szCs w:val="24"/>
          <w:lang w:eastAsia="en-US"/>
          <w14:ligatures w14:val="standardContextual"/>
        </w:rPr>
        <w:t>,</w:t>
      </w:r>
      <w:r w:rsidR="00890C05" w:rsidRPr="005D7D6B">
        <w:rPr>
          <w:rStyle w:val="Refdenotaalpie"/>
          <w:rFonts w:ascii="Roboto" w:eastAsiaTheme="minorHAnsi" w:hAnsi="Roboto"/>
          <w:color w:val="373F56"/>
          <w:kern w:val="2"/>
          <w:sz w:val="24"/>
          <w:szCs w:val="24"/>
          <w:lang w:eastAsia="en-US"/>
          <w14:ligatures w14:val="standardContextual"/>
        </w:rPr>
        <w:footnoteReference w:id="5"/>
      </w:r>
      <w:r w:rsidR="005D7D6B" w:rsidRPr="005D7D6B">
        <w:rPr>
          <w:rFonts w:ascii="Roboto" w:eastAsiaTheme="minorHAnsi" w:hAnsi="Roboto"/>
          <w:color w:val="373F56"/>
          <w:kern w:val="2"/>
          <w:sz w:val="24"/>
          <w:szCs w:val="24"/>
          <w:lang w:eastAsia="en-US"/>
          <w14:ligatures w14:val="standardContextual"/>
        </w:rPr>
        <w:t xml:space="preserve"> </w:t>
      </w:r>
      <w:r w:rsidRPr="005D7D6B">
        <w:rPr>
          <w:rFonts w:ascii="Roboto" w:eastAsiaTheme="minorHAnsi" w:hAnsi="Roboto"/>
          <w:color w:val="373F56"/>
          <w:kern w:val="2"/>
          <w:sz w:val="24"/>
          <w:szCs w:val="24"/>
          <w:lang w:eastAsia="en-US"/>
          <w14:ligatures w14:val="standardContextual"/>
        </w:rPr>
        <w:t>porque se controvierte una resolución del Consejo General del INE emitida en un procedimiento sancionador ordinario, instaurado en el que se sancionó a MORENA por la afiliación indebida y uso no autorizado de los datos personales de una ciudadana.</w:t>
      </w:r>
    </w:p>
    <w:p w14:paraId="2011FD67"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p>
    <w:p w14:paraId="6D331063" w14:textId="77777777" w:rsidR="00282556" w:rsidRPr="005D7D6B" w:rsidRDefault="00282556" w:rsidP="005D7D6B">
      <w:pPr>
        <w:pStyle w:val="p1"/>
        <w:spacing w:before="120" w:line="276" w:lineRule="auto"/>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V. PROCEDENCIA</w:t>
      </w:r>
    </w:p>
    <w:p w14:paraId="5B089A1A" w14:textId="4A522C5B" w:rsidR="00282556" w:rsidRPr="005D7D6B" w:rsidRDefault="005D7D6B"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(1</w:t>
      </w:r>
      <w:r w:rsidR="00282556" w:rsidRPr="005D7D6B">
        <w:rPr>
          <w:rFonts w:ascii="Roboto" w:eastAsiaTheme="minorHAnsi" w:hAnsi="Roboto"/>
          <w:b/>
          <w:bCs/>
          <w:color w:val="373F56"/>
          <w:kern w:val="2"/>
          <w:sz w:val="24"/>
          <w:szCs w:val="24"/>
          <w:lang w:eastAsia="en-US"/>
          <w14:ligatures w14:val="standardContextual"/>
        </w:rPr>
        <w:t>3)(14)</w:t>
      </w:r>
      <w:r w:rsidR="00282556" w:rsidRPr="005D7D6B">
        <w:rPr>
          <w:rFonts w:ascii="Roboto" w:eastAsiaTheme="minorHAnsi" w:hAnsi="Roboto"/>
          <w:color w:val="373F56"/>
          <w:kern w:val="2"/>
          <w:sz w:val="24"/>
          <w:szCs w:val="24"/>
          <w:lang w:eastAsia="en-US"/>
          <w14:ligatures w14:val="standardContextual"/>
        </w:rPr>
        <w:t xml:space="preserve"> El medio de impugnación cumple con los requisitos de procedencia de conformidad con lo siguiente:</w:t>
      </w:r>
      <w:r w:rsidR="00890C05" w:rsidRPr="005D7D6B">
        <w:rPr>
          <w:rStyle w:val="Refdenotaalpie"/>
          <w:rFonts w:ascii="Roboto" w:eastAsiaTheme="minorHAnsi" w:hAnsi="Roboto"/>
          <w:color w:val="373F56"/>
          <w:kern w:val="2"/>
          <w:sz w:val="24"/>
          <w:szCs w:val="24"/>
          <w:lang w:eastAsia="en-US"/>
          <w14:ligatures w14:val="standardContextual"/>
        </w:rPr>
        <w:footnoteReference w:id="6"/>
      </w:r>
    </w:p>
    <w:p w14:paraId="740CC643"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Forma.</w:t>
      </w:r>
      <w:r w:rsidRPr="005D7D6B">
        <w:rPr>
          <w:rFonts w:ascii="Roboto" w:eastAsiaTheme="minorHAnsi" w:hAnsi="Roboto"/>
          <w:color w:val="373F56"/>
          <w:kern w:val="2"/>
          <w:sz w:val="24"/>
          <w:szCs w:val="24"/>
          <w:lang w:eastAsia="en-US"/>
          <w14:ligatures w14:val="standardContextual"/>
        </w:rPr>
        <w:t xml:space="preserve"> El recurso se presentó por escrito, consta el nombre y firma autógrafa del recurrente, se identifica el acto impugnado, la autoridad responsable, los hechos y los agravios que se estiman pertinentes.</w:t>
      </w:r>
    </w:p>
    <w:p w14:paraId="291EEAFB"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p>
    <w:p w14:paraId="222975BA"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Oportunidad.</w:t>
      </w:r>
      <w:r w:rsidRPr="005D7D6B">
        <w:rPr>
          <w:rFonts w:ascii="Roboto" w:eastAsiaTheme="minorHAnsi" w:hAnsi="Roboto"/>
          <w:color w:val="373F56"/>
          <w:kern w:val="2"/>
          <w:sz w:val="24"/>
          <w:szCs w:val="24"/>
          <w:lang w:eastAsia="en-US"/>
          <w14:ligatures w14:val="standardContextual"/>
        </w:rPr>
        <w:t xml:space="preserve"> El medio de impugnación se interpuso de manera oportuna porque la resolución impugnada se emitió el veintidós de julio y el escrito de demanda se presentó el veintiséis siguiente. </w:t>
      </w:r>
      <w:r w:rsidRPr="005D7D6B">
        <w:rPr>
          <w:rFonts w:ascii="Roboto" w:eastAsiaTheme="minorHAnsi" w:hAnsi="Roboto"/>
          <w:b/>
          <w:bCs/>
          <w:color w:val="373F56"/>
          <w:kern w:val="2"/>
          <w:sz w:val="24"/>
          <w:szCs w:val="24"/>
          <w:lang w:eastAsia="en-US"/>
          <w14:ligatures w14:val="standardContextual"/>
        </w:rPr>
        <w:t>(16) Legitimación y personería.</w:t>
      </w:r>
      <w:r w:rsidRPr="005D7D6B">
        <w:rPr>
          <w:rFonts w:ascii="Roboto" w:eastAsiaTheme="minorHAnsi" w:hAnsi="Roboto"/>
          <w:color w:val="373F56"/>
          <w:kern w:val="2"/>
          <w:sz w:val="24"/>
          <w:szCs w:val="24"/>
          <w:lang w:eastAsia="en-US"/>
          <w14:ligatures w14:val="standardContextual"/>
        </w:rPr>
        <w:t xml:space="preserve"> El medio de impugnación fue interpuesto por MORENA a través de su representante ante la autoridad responsable, calidad que le es reconocida en el informe circunstanciado.</w:t>
      </w:r>
    </w:p>
    <w:p w14:paraId="2B96328B"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(17) Interés.</w:t>
      </w:r>
      <w:r w:rsidRPr="005D7D6B">
        <w:rPr>
          <w:rFonts w:ascii="Roboto" w:eastAsiaTheme="minorHAnsi" w:hAnsi="Roboto"/>
          <w:color w:val="373F56"/>
          <w:kern w:val="2"/>
          <w:sz w:val="24"/>
          <w:szCs w:val="24"/>
          <w:lang w:eastAsia="en-US"/>
          <w14:ligatures w14:val="standardContextual"/>
        </w:rPr>
        <w:t xml:space="preserve"> Se satisface, porque MORENA controvierte la resolución impugnada al considerar que la sanción impuesta afecta su esfera de derechos.</w:t>
      </w:r>
    </w:p>
    <w:p w14:paraId="3C1DCD65"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(18) Definitividad.</w:t>
      </w:r>
      <w:r w:rsidRPr="005D7D6B">
        <w:rPr>
          <w:rFonts w:ascii="Roboto" w:eastAsiaTheme="minorHAnsi" w:hAnsi="Roboto"/>
          <w:color w:val="373F56"/>
          <w:kern w:val="2"/>
          <w:sz w:val="24"/>
          <w:szCs w:val="24"/>
          <w:lang w:eastAsia="en-US"/>
          <w14:ligatures w14:val="standardContextual"/>
        </w:rPr>
        <w:t xml:space="preserve"> Se cumple con este requisito, debido a que no procede algún otro medio de impugnación.</w:t>
      </w:r>
    </w:p>
    <w:p w14:paraId="5E5D7FCB" w14:textId="77777777" w:rsidR="00282556" w:rsidRPr="005D7D6B" w:rsidRDefault="00282556" w:rsidP="005D7D6B">
      <w:pPr>
        <w:pStyle w:val="p1"/>
        <w:spacing w:before="120" w:line="276" w:lineRule="auto"/>
        <w:jc w:val="both"/>
        <w:rPr>
          <w:rFonts w:ascii="Roboto" w:eastAsiaTheme="minorHAnsi" w:hAnsi="Roboto"/>
          <w:b/>
          <w:bCs/>
          <w:color w:val="373F56"/>
          <w:kern w:val="2"/>
          <w:sz w:val="24"/>
          <w:szCs w:val="24"/>
          <w:lang w:eastAsia="en-US"/>
          <w14:ligatures w14:val="standardContextual"/>
        </w:rPr>
      </w:pPr>
    </w:p>
    <w:p w14:paraId="43FC825C" w14:textId="77777777" w:rsidR="00282556" w:rsidRPr="005D7D6B" w:rsidRDefault="00282556" w:rsidP="005D7D6B">
      <w:pPr>
        <w:pStyle w:val="p1"/>
        <w:spacing w:before="120" w:line="276" w:lineRule="auto"/>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VI. ESTUDIO DE FONDO</w:t>
      </w:r>
    </w:p>
    <w:p w14:paraId="4921E7AD" w14:textId="77777777" w:rsidR="00282556" w:rsidRPr="005D7D6B" w:rsidRDefault="00282556" w:rsidP="005D7D6B">
      <w:pPr>
        <w:pStyle w:val="p1"/>
        <w:spacing w:before="120" w:line="276" w:lineRule="auto"/>
        <w:ind w:left="598"/>
        <w:jc w:val="both"/>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I. Resolución impugnada</w:t>
      </w:r>
    </w:p>
    <w:p w14:paraId="34C1B309"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(19) (20) (21) El CG del INE determinó que MORENA vulneró el derecho de afiliación de la quejosa y que, intrínsecamente, para la configuración de esa falta, se utilizaron sin autorización sus datos personales,</w:t>
      </w:r>
      <w:r w:rsidRPr="005D7D6B">
        <w:rPr>
          <w:rFonts w:ascii="Roboto" w:eastAsiaTheme="minorHAnsi" w:hAnsi="Roboto"/>
          <w:color w:val="373F56"/>
          <w:kern w:val="2"/>
          <w:sz w:val="24"/>
          <w:szCs w:val="24"/>
          <w:lang w:eastAsia="en-US"/>
          <w14:ligatures w14:val="standardContextual"/>
        </w:rPr>
        <w:t xml:space="preserve"> conforme a lo siguiente:</w:t>
      </w:r>
    </w:p>
    <w:p w14:paraId="05FE3C49" w14:textId="5872EF4D"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En primer lugar, la responsable razonó que, de conformidad con los criterios de esta Sala Superior</w:t>
      </w:r>
      <w:r w:rsidR="00890C05" w:rsidRPr="005D7D6B">
        <w:rPr>
          <w:rFonts w:ascii="Roboto" w:eastAsiaTheme="minorHAnsi" w:hAnsi="Roboto"/>
          <w:color w:val="373F56"/>
          <w:kern w:val="2"/>
          <w:sz w:val="24"/>
          <w:szCs w:val="24"/>
          <w:lang w:eastAsia="en-US"/>
          <w14:ligatures w14:val="standardContextual"/>
        </w:rPr>
        <w:t xml:space="preserve"> </w:t>
      </w:r>
      <w:r w:rsidR="00890C05" w:rsidRPr="005D7D6B">
        <w:rPr>
          <w:rStyle w:val="Refdenotaalpie"/>
          <w:rFonts w:ascii="Roboto" w:eastAsiaTheme="minorHAnsi" w:hAnsi="Roboto"/>
          <w:color w:val="373F56"/>
          <w:kern w:val="2"/>
          <w:sz w:val="24"/>
          <w:szCs w:val="24"/>
          <w:lang w:eastAsia="en-US"/>
          <w14:ligatures w14:val="standardContextual"/>
        </w:rPr>
        <w:footnoteReference w:id="7"/>
      </w:r>
      <w:r w:rsidRPr="005D7D6B">
        <w:rPr>
          <w:rFonts w:ascii="Roboto" w:eastAsiaTheme="minorHAnsi" w:hAnsi="Roboto"/>
          <w:color w:val="373F56"/>
          <w:kern w:val="2"/>
          <w:sz w:val="24"/>
          <w:szCs w:val="24"/>
          <w:lang w:eastAsia="en-US"/>
          <w14:ligatures w14:val="standardContextual"/>
        </w:rPr>
        <w:t>la carga de la prueba corresponde al partido político que afirma que contaba con el consentimiento de las personas quejosas para afiliarlas a su partido político, y no a estos que negaron haber solicitado su inclusión en el padrón correspondiente.</w:t>
      </w:r>
    </w:p>
    <w:p w14:paraId="055B7219"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 xml:space="preserve">Debido a lo anterior, se consideró que se acreditaban las infracciones denunciadas, toda vez que la quejosa manifestó no haber otorgado su consentimiento para ser agremiada al partido, que está comprobada su afiliación, y que MORENA, no cumplió su carga para demostrar </w:t>
      </w:r>
      <w:r w:rsidRPr="005D7D6B">
        <w:rPr>
          <w:rFonts w:ascii="Roboto" w:eastAsiaTheme="minorHAnsi" w:hAnsi="Roboto"/>
          <w:b/>
          <w:bCs/>
          <w:color w:val="373F56"/>
          <w:kern w:val="2"/>
          <w:sz w:val="24"/>
          <w:szCs w:val="24"/>
          <w:lang w:eastAsia="en-US"/>
          <w14:ligatures w14:val="standardContextual"/>
        </w:rPr>
        <w:t>en los tempos procesales oportunos</w:t>
      </w:r>
      <w:r w:rsidRPr="005D7D6B">
        <w:rPr>
          <w:rFonts w:ascii="Roboto" w:eastAsiaTheme="minorHAnsi" w:hAnsi="Roboto"/>
          <w:color w:val="373F56"/>
          <w:kern w:val="2"/>
          <w:sz w:val="24"/>
          <w:szCs w:val="24"/>
          <w:lang w:eastAsia="en-US"/>
          <w14:ligatures w14:val="standardContextual"/>
        </w:rPr>
        <w:t xml:space="preserve"> que la afiliación sí se solicitó voluntariamente.</w:t>
      </w:r>
    </w:p>
    <w:p w14:paraId="2034D7B1"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(22)</w:t>
      </w:r>
      <w:r w:rsidRPr="005D7D6B">
        <w:rPr>
          <w:rFonts w:ascii="Roboto" w:eastAsiaTheme="minorHAnsi" w:hAnsi="Roboto"/>
          <w:color w:val="373F56"/>
          <w:kern w:val="2"/>
          <w:sz w:val="24"/>
          <w:szCs w:val="24"/>
          <w:lang w:eastAsia="en-US"/>
          <w14:ligatures w14:val="standardContextual"/>
        </w:rPr>
        <w:t xml:space="preserve"> Además, la responsable precisó que MORENA posterior a la contestación del emplazamiento remitió a la UTCE, lo que dijo, se trataba de un formato original de afiliación de la persona denunciante.</w:t>
      </w:r>
    </w:p>
    <w:p w14:paraId="26435407"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 xml:space="preserve">(23) </w:t>
      </w:r>
      <w:r w:rsidRPr="005D7D6B">
        <w:rPr>
          <w:rFonts w:ascii="Roboto" w:eastAsiaTheme="minorHAnsi" w:hAnsi="Roboto"/>
          <w:color w:val="373F56"/>
          <w:kern w:val="2"/>
          <w:sz w:val="24"/>
          <w:szCs w:val="24"/>
          <w:lang w:eastAsia="en-US"/>
          <w14:ligatures w14:val="standardContextual"/>
        </w:rPr>
        <w:t>Sin embargo, el CG del INE determinó que no era procedente admitir dicha prueba ante su presentación extemporánea.</w:t>
      </w:r>
    </w:p>
    <w:p w14:paraId="7FFB6941"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(24)</w:t>
      </w:r>
      <w:r w:rsidRPr="005D7D6B">
        <w:rPr>
          <w:rFonts w:ascii="Roboto" w:eastAsiaTheme="minorHAnsi" w:hAnsi="Roboto"/>
          <w:color w:val="373F56"/>
          <w:kern w:val="2"/>
          <w:sz w:val="24"/>
          <w:szCs w:val="24"/>
          <w:lang w:eastAsia="en-US"/>
          <w14:ligatures w14:val="standardContextual"/>
        </w:rPr>
        <w:t xml:space="preserve"> De ahí que, al acreditarse las infracciones denunciadas, se impuso una multa a MORENA equivalente a $133,202.16 (Ciento treinta y tres mil doscientos dos pesos 16/100 M.N).</w:t>
      </w:r>
    </w:p>
    <w:p w14:paraId="6B01E536"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p>
    <w:p w14:paraId="42C33989" w14:textId="77777777" w:rsidR="00282556" w:rsidRPr="005D7D6B" w:rsidRDefault="00282556" w:rsidP="005D7D6B">
      <w:pPr>
        <w:pStyle w:val="p1"/>
        <w:spacing w:before="120" w:line="276" w:lineRule="auto"/>
        <w:ind w:left="598"/>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II. Pretensión y causa de pedir</w:t>
      </w:r>
    </w:p>
    <w:p w14:paraId="56830C6B"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(25)</w:t>
      </w:r>
      <w:r w:rsidRPr="005D7D6B">
        <w:rPr>
          <w:rFonts w:ascii="Roboto" w:eastAsiaTheme="minorHAnsi" w:hAnsi="Roboto"/>
          <w:color w:val="373F56"/>
          <w:kern w:val="2"/>
          <w:sz w:val="24"/>
          <w:szCs w:val="24"/>
          <w:lang w:eastAsia="en-US"/>
          <w14:ligatures w14:val="standardContextual"/>
        </w:rPr>
        <w:t xml:space="preserve"> La </w:t>
      </w:r>
      <w:r w:rsidRPr="005D7D6B">
        <w:rPr>
          <w:rFonts w:ascii="Roboto" w:eastAsiaTheme="minorHAnsi" w:hAnsi="Roboto"/>
          <w:b/>
          <w:bCs/>
          <w:color w:val="373F56"/>
          <w:kern w:val="2"/>
          <w:sz w:val="24"/>
          <w:szCs w:val="24"/>
          <w:lang w:eastAsia="en-US"/>
          <w14:ligatures w14:val="standardContextual"/>
        </w:rPr>
        <w:t>pretensión</w:t>
      </w:r>
      <w:r w:rsidRPr="005D7D6B">
        <w:rPr>
          <w:rFonts w:ascii="Roboto" w:eastAsiaTheme="minorHAnsi" w:hAnsi="Roboto"/>
          <w:color w:val="373F56"/>
          <w:kern w:val="2"/>
          <w:sz w:val="24"/>
          <w:szCs w:val="24"/>
          <w:lang w:eastAsia="en-US"/>
          <w14:ligatures w14:val="standardContextual"/>
        </w:rPr>
        <w:t xml:space="preserve"> de MORENA es que se revoque la resolución impugnada. Su </w:t>
      </w:r>
      <w:r w:rsidRPr="005D7D6B">
        <w:rPr>
          <w:rFonts w:ascii="Roboto" w:eastAsiaTheme="minorHAnsi" w:hAnsi="Roboto"/>
          <w:b/>
          <w:bCs/>
          <w:color w:val="373F56"/>
          <w:kern w:val="2"/>
          <w:sz w:val="24"/>
          <w:szCs w:val="24"/>
          <w:lang w:eastAsia="en-US"/>
          <w14:ligatures w14:val="standardContextual"/>
        </w:rPr>
        <w:t>causa de pedir</w:t>
      </w:r>
      <w:r w:rsidRPr="005D7D6B">
        <w:rPr>
          <w:rFonts w:ascii="Roboto" w:eastAsiaTheme="minorHAnsi" w:hAnsi="Roboto"/>
          <w:color w:val="373F56"/>
          <w:kern w:val="2"/>
          <w:sz w:val="24"/>
          <w:szCs w:val="24"/>
          <w:lang w:eastAsia="en-US"/>
          <w14:ligatures w14:val="standardContextual"/>
        </w:rPr>
        <w:t xml:space="preserve"> radica en que la resolución impugnada es incongruente y contiene una indebida fundamentación y motivación, para lo cual hace valer los motivos de inconformidad siguientes:</w:t>
      </w:r>
    </w:p>
    <w:p w14:paraId="7C8041EE" w14:textId="0DF45ADE" w:rsidR="00282556" w:rsidRPr="005D7D6B" w:rsidRDefault="00282556" w:rsidP="005D7D6B">
      <w:pPr>
        <w:pStyle w:val="p2"/>
        <w:numPr>
          <w:ilvl w:val="0"/>
          <w:numId w:val="8"/>
        </w:numPr>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No se analizaron sus alegatos y la cédula de afiliación aportada dentro del procedimiento, a pesar de que señaló que no la tenía bajo su resguardo.</w:t>
      </w:r>
    </w:p>
    <w:p w14:paraId="5F6E383A" w14:textId="315D38CD" w:rsidR="00282556" w:rsidRPr="005D7D6B" w:rsidRDefault="00282556" w:rsidP="005D7D6B">
      <w:pPr>
        <w:pStyle w:val="p2"/>
        <w:numPr>
          <w:ilvl w:val="0"/>
          <w:numId w:val="8"/>
        </w:numPr>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Se actualiza la incongruencia porque la responsable razonó que su decisión se basó en los elementos probatorios valorados, sin que se admitieran sus pruebas y, por tanto, no se valorar</w:t>
      </w:r>
      <w:r w:rsidR="005D7D6B" w:rsidRPr="005D7D6B">
        <w:rPr>
          <w:rFonts w:ascii="Roboto" w:eastAsiaTheme="minorHAnsi" w:hAnsi="Roboto"/>
          <w:color w:val="373F56"/>
          <w:kern w:val="2"/>
          <w:sz w:val="24"/>
          <w:szCs w:val="24"/>
          <w:lang w:eastAsia="en-US"/>
          <w14:ligatures w14:val="standardContextual"/>
        </w:rPr>
        <w:t>á</w:t>
      </w:r>
      <w:r w:rsidRPr="005D7D6B">
        <w:rPr>
          <w:rFonts w:ascii="Roboto" w:eastAsiaTheme="minorHAnsi" w:hAnsi="Roboto"/>
          <w:color w:val="373F56"/>
          <w:kern w:val="2"/>
          <w:sz w:val="24"/>
          <w:szCs w:val="24"/>
          <w:lang w:eastAsia="en-US"/>
          <w14:ligatures w14:val="standardContextual"/>
        </w:rPr>
        <w:t>n.</w:t>
      </w:r>
    </w:p>
    <w:p w14:paraId="226FF126" w14:textId="75F9C016" w:rsidR="00282556" w:rsidRPr="005D7D6B" w:rsidRDefault="00282556" w:rsidP="005D7D6B">
      <w:pPr>
        <w:pStyle w:val="p2"/>
        <w:numPr>
          <w:ilvl w:val="0"/>
          <w:numId w:val="8"/>
        </w:numPr>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lastRenderedPageBreak/>
        <w:t>No tiene asidero legal que sus pruebas no se valoraran, pues las ofreció en el desahogo del emplazamiento, por lo que se vulnera el debido proceso.</w:t>
      </w:r>
    </w:p>
    <w:p w14:paraId="3B82FDBF" w14:textId="094B0049" w:rsidR="00282556" w:rsidRPr="005D7D6B" w:rsidRDefault="00282556" w:rsidP="005D7D6B">
      <w:pPr>
        <w:pStyle w:val="p2"/>
        <w:numPr>
          <w:ilvl w:val="0"/>
          <w:numId w:val="8"/>
        </w:numPr>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Las pruebas ofrecidas y posteriormente aportadas deben admitirse y valorarse para someterse al derecho de contradicción.</w:t>
      </w:r>
    </w:p>
    <w:p w14:paraId="2B4D520B" w14:textId="1D56A067" w:rsidR="00282556" w:rsidRPr="005D7D6B" w:rsidRDefault="00282556" w:rsidP="005D7D6B">
      <w:pPr>
        <w:pStyle w:val="p2"/>
        <w:numPr>
          <w:ilvl w:val="0"/>
          <w:numId w:val="8"/>
        </w:numPr>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La determinación asumida por la responsable es contraria a la adenda ACQyD-55/2024, porque se acreditó que la afiliación fue válida.</w:t>
      </w:r>
    </w:p>
    <w:p w14:paraId="505138AD" w14:textId="1F544585" w:rsidR="00282556" w:rsidRPr="005D7D6B" w:rsidRDefault="00282556" w:rsidP="005D7D6B">
      <w:pPr>
        <w:pStyle w:val="p2"/>
        <w:numPr>
          <w:ilvl w:val="0"/>
          <w:numId w:val="8"/>
        </w:numPr>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La sanción es desproporcional, porque la no admisión de las pruebas implicó que no se valorara correctamente la debida afiliación.</w:t>
      </w:r>
    </w:p>
    <w:p w14:paraId="56F82607" w14:textId="7EFBB855" w:rsidR="00282556" w:rsidRPr="005D7D6B" w:rsidRDefault="00282556" w:rsidP="005D7D6B">
      <w:pPr>
        <w:pStyle w:val="p2"/>
        <w:numPr>
          <w:ilvl w:val="0"/>
          <w:numId w:val="8"/>
        </w:numPr>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No se cumplieron los requisitos formales para la individualización de la sanción económica impuesta, ya que no se admitieron y valoraron las pruebas ofrecidas.</w:t>
      </w:r>
    </w:p>
    <w:p w14:paraId="55347F6C" w14:textId="77777777" w:rsidR="005D7D6B" w:rsidRPr="005D7D6B" w:rsidRDefault="005D7D6B" w:rsidP="005D7D6B">
      <w:pPr>
        <w:pStyle w:val="p2"/>
        <w:spacing w:before="120" w:line="276" w:lineRule="auto"/>
        <w:ind w:left="720"/>
        <w:jc w:val="both"/>
        <w:rPr>
          <w:rFonts w:ascii="Roboto" w:eastAsiaTheme="minorHAnsi" w:hAnsi="Roboto"/>
          <w:color w:val="373F56"/>
          <w:kern w:val="2"/>
          <w:sz w:val="24"/>
          <w:szCs w:val="24"/>
          <w:lang w:eastAsia="en-US"/>
          <w14:ligatures w14:val="standardContextual"/>
        </w:rPr>
      </w:pPr>
    </w:p>
    <w:p w14:paraId="08D7CAF0" w14:textId="77777777" w:rsidR="00282556" w:rsidRPr="005D7D6B" w:rsidRDefault="00282556" w:rsidP="005D7D6B">
      <w:pPr>
        <w:pStyle w:val="p1"/>
        <w:spacing w:before="120" w:line="276" w:lineRule="auto"/>
        <w:ind w:left="598"/>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III. Metodología de estudio</w:t>
      </w:r>
    </w:p>
    <w:p w14:paraId="59911E58" w14:textId="4F46B219"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Por cuestión de método, los motivos de inconformidad se analizarán de forma conjunta, sin que ello genere perjuicio a MORENA ya que lo relevante es que la totalidad de sus agravios sean analizados por este órgano jurisdiccional</w:t>
      </w:r>
      <w:r w:rsidR="005D7D6B" w:rsidRPr="005D7D6B">
        <w:rPr>
          <w:rFonts w:ascii="Roboto" w:eastAsiaTheme="minorHAnsi" w:hAnsi="Roboto"/>
          <w:color w:val="373F56"/>
          <w:kern w:val="2"/>
          <w:sz w:val="24"/>
          <w:szCs w:val="24"/>
          <w:lang w:eastAsia="en-US"/>
          <w14:ligatures w14:val="standardContextual"/>
        </w:rPr>
        <w:t>.</w:t>
      </w:r>
      <w:r w:rsidR="00890C05" w:rsidRPr="005D7D6B">
        <w:rPr>
          <w:rStyle w:val="Refdenotaalpie"/>
          <w:rFonts w:ascii="Roboto" w:eastAsiaTheme="minorHAnsi" w:hAnsi="Roboto"/>
          <w:color w:val="373F56"/>
          <w:kern w:val="2"/>
          <w:sz w:val="24"/>
          <w:szCs w:val="24"/>
          <w:lang w:eastAsia="en-US"/>
          <w14:ligatures w14:val="standardContextual"/>
        </w:rPr>
        <w:footnoteReference w:id="8"/>
      </w:r>
    </w:p>
    <w:p w14:paraId="263CF7B1" w14:textId="77777777" w:rsidR="005D7D6B" w:rsidRPr="005D7D6B" w:rsidRDefault="005D7D6B" w:rsidP="005D7D6B">
      <w:pPr>
        <w:pStyle w:val="p1"/>
        <w:spacing w:before="120" w:line="276" w:lineRule="auto"/>
        <w:jc w:val="both"/>
        <w:rPr>
          <w:rFonts w:ascii="Roboto" w:eastAsiaTheme="minorHAnsi" w:hAnsi="Roboto"/>
          <w:color w:val="373F56"/>
          <w:kern w:val="2"/>
          <w:sz w:val="24"/>
          <w:szCs w:val="24"/>
          <w:lang w:eastAsia="en-US"/>
          <w14:ligatures w14:val="standardContextual"/>
        </w:rPr>
      </w:pPr>
    </w:p>
    <w:p w14:paraId="2F4608E9" w14:textId="77777777" w:rsidR="00282556" w:rsidRPr="005D7D6B" w:rsidRDefault="00282556" w:rsidP="005D7D6B">
      <w:pPr>
        <w:pStyle w:val="p1"/>
        <w:spacing w:before="120" w:line="276" w:lineRule="auto"/>
        <w:ind w:left="598"/>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IV. Decisión</w:t>
      </w:r>
    </w:p>
    <w:p w14:paraId="2CD09E8C"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 xml:space="preserve">En una parte son </w:t>
      </w:r>
      <w:r w:rsidRPr="005D7D6B">
        <w:rPr>
          <w:rFonts w:ascii="Roboto" w:eastAsiaTheme="minorHAnsi" w:hAnsi="Roboto"/>
          <w:b/>
          <w:bCs/>
          <w:color w:val="373F56"/>
          <w:kern w:val="2"/>
          <w:sz w:val="24"/>
          <w:szCs w:val="24"/>
          <w:lang w:eastAsia="en-US"/>
          <w14:ligatures w14:val="standardContextual"/>
        </w:rPr>
        <w:t>infundados</w:t>
      </w:r>
      <w:r w:rsidRPr="005D7D6B">
        <w:rPr>
          <w:rFonts w:ascii="Roboto" w:eastAsiaTheme="minorHAnsi" w:hAnsi="Roboto"/>
          <w:color w:val="373F56"/>
          <w:kern w:val="2"/>
          <w:sz w:val="24"/>
          <w:szCs w:val="24"/>
          <w:lang w:eastAsia="en-US"/>
          <w14:ligatures w14:val="standardContextual"/>
        </w:rPr>
        <w:t xml:space="preserve"> los agravios de MORENA, porque el CG del INE sí se pronunció sobre su escrito de veintinueve de febrero, mediante el cual aportó una supuesta cédula de afiliación.</w:t>
      </w:r>
    </w:p>
    <w:p w14:paraId="5A5F3AC6"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 xml:space="preserve">En otra parte, son </w:t>
      </w:r>
      <w:r w:rsidRPr="005D7D6B">
        <w:rPr>
          <w:rFonts w:ascii="Roboto" w:eastAsiaTheme="minorHAnsi" w:hAnsi="Roboto"/>
          <w:b/>
          <w:bCs/>
          <w:color w:val="373F56"/>
          <w:kern w:val="2"/>
          <w:sz w:val="24"/>
          <w:szCs w:val="24"/>
          <w:lang w:eastAsia="en-US"/>
          <w14:ligatures w14:val="standardContextual"/>
        </w:rPr>
        <w:t>inoperantes</w:t>
      </w:r>
      <w:r w:rsidRPr="005D7D6B">
        <w:rPr>
          <w:rFonts w:ascii="Roboto" w:eastAsiaTheme="minorHAnsi" w:hAnsi="Roboto"/>
          <w:color w:val="373F56"/>
          <w:kern w:val="2"/>
          <w:sz w:val="24"/>
          <w:szCs w:val="24"/>
          <w:lang w:eastAsia="en-US"/>
          <w14:ligatures w14:val="standardContextual"/>
        </w:rPr>
        <w:t xml:space="preserve"> porque MORENA no controvierte las razones esenciales de la responsable para no admitir dicha probanza.</w:t>
      </w:r>
    </w:p>
    <w:p w14:paraId="1DA8D5FE" w14:textId="77777777" w:rsidR="005D7D6B" w:rsidRPr="005D7D6B" w:rsidRDefault="005D7D6B" w:rsidP="005D7D6B">
      <w:pPr>
        <w:pStyle w:val="p1"/>
        <w:spacing w:before="120" w:line="276" w:lineRule="auto"/>
        <w:jc w:val="both"/>
        <w:rPr>
          <w:rFonts w:ascii="Roboto" w:eastAsiaTheme="minorHAnsi" w:hAnsi="Roboto"/>
          <w:color w:val="373F56"/>
          <w:kern w:val="2"/>
          <w:sz w:val="24"/>
          <w:szCs w:val="24"/>
          <w:lang w:eastAsia="en-US"/>
          <w14:ligatures w14:val="standardContextual"/>
        </w:rPr>
      </w:pPr>
    </w:p>
    <w:p w14:paraId="125E9693" w14:textId="77777777" w:rsidR="00282556" w:rsidRPr="005D7D6B" w:rsidRDefault="00282556" w:rsidP="005D7D6B">
      <w:pPr>
        <w:pStyle w:val="p1"/>
        <w:spacing w:before="120" w:line="276" w:lineRule="auto"/>
        <w:ind w:left="598"/>
        <w:rPr>
          <w:rFonts w:ascii="Roboto" w:eastAsiaTheme="minorHAnsi" w:hAnsi="Roboto"/>
          <w:b/>
          <w:bCs/>
          <w:color w:val="373F56"/>
          <w:kern w:val="2"/>
          <w:sz w:val="24"/>
          <w:szCs w:val="24"/>
          <w:lang w:eastAsia="en-US"/>
          <w14:ligatures w14:val="standardContextual"/>
        </w:rPr>
      </w:pPr>
      <w:r w:rsidRPr="005D7D6B">
        <w:rPr>
          <w:rFonts w:ascii="Roboto" w:eastAsiaTheme="minorHAnsi" w:hAnsi="Roboto"/>
          <w:b/>
          <w:bCs/>
          <w:color w:val="373F56"/>
          <w:kern w:val="2"/>
          <w:sz w:val="24"/>
          <w:szCs w:val="24"/>
          <w:lang w:eastAsia="en-US"/>
          <w14:ligatures w14:val="standardContextual"/>
        </w:rPr>
        <w:t>V. Marco normativo</w:t>
      </w:r>
    </w:p>
    <w:p w14:paraId="51C3344F"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 xml:space="preserve">Los artículos 35, fracción III, y 41, Base I, párrafo segundo, de la Constitución federal establecen que es un derecho de los ciudadanos </w:t>
      </w:r>
      <w:r w:rsidRPr="005D7D6B">
        <w:rPr>
          <w:rFonts w:ascii="Roboto" w:eastAsiaTheme="minorHAnsi" w:hAnsi="Roboto"/>
          <w:b/>
          <w:bCs/>
          <w:color w:val="373F56"/>
          <w:kern w:val="2"/>
          <w:sz w:val="24"/>
          <w:szCs w:val="24"/>
          <w:lang w:eastAsia="en-US"/>
          <w14:ligatures w14:val="standardContextual"/>
        </w:rPr>
        <w:t>afiliarse libre</w:t>
      </w:r>
      <w:r w:rsidRPr="005D7D6B">
        <w:rPr>
          <w:rFonts w:ascii="Roboto" w:eastAsiaTheme="minorHAnsi" w:hAnsi="Roboto"/>
          <w:color w:val="373F56"/>
          <w:kern w:val="2"/>
          <w:sz w:val="24"/>
          <w:szCs w:val="24"/>
          <w:lang w:eastAsia="en-US"/>
          <w14:ligatures w14:val="standardContextual"/>
        </w:rPr>
        <w:t xml:space="preserve"> e individualmente a los institutos políticos.</w:t>
      </w:r>
    </w:p>
    <w:p w14:paraId="48BA894C" w14:textId="77777777" w:rsidR="00282556" w:rsidRPr="005D7D6B" w:rsidRDefault="00282556" w:rsidP="005D7D6B">
      <w:pPr>
        <w:pStyle w:val="p1"/>
        <w:spacing w:before="120" w:line="276" w:lineRule="auto"/>
        <w:jc w:val="both"/>
        <w:rPr>
          <w:rFonts w:ascii="Roboto" w:eastAsiaTheme="minorHAnsi" w:hAnsi="Roboto"/>
          <w:b/>
          <w:bCs/>
          <w:color w:val="373F56"/>
          <w:kern w:val="2"/>
          <w:sz w:val="24"/>
          <w:szCs w:val="24"/>
          <w:lang w:eastAsia="en-US"/>
          <w14:ligatures w14:val="standardContextual"/>
        </w:rPr>
      </w:pPr>
      <w:bookmarkStart w:id="0" w:name="OLE_LINK2"/>
      <w:r w:rsidRPr="005D7D6B">
        <w:rPr>
          <w:rFonts w:ascii="Roboto" w:eastAsiaTheme="minorHAnsi" w:hAnsi="Roboto"/>
          <w:b/>
          <w:bCs/>
          <w:color w:val="373F56"/>
          <w:kern w:val="2"/>
          <w:sz w:val="24"/>
          <w:szCs w:val="24"/>
          <w:lang w:eastAsia="en-US"/>
          <w14:ligatures w14:val="standardContextual"/>
        </w:rPr>
        <w:t>Así, si un partido afilia a una persona sin su consentimiento, afecta la libertad del individuo a decidir, de forma autónoma, si se incorpora o no a la organización política, con lo cual incumple su obligación de respetar los derechos de las personas y conducirse conforme a la ley.</w:t>
      </w:r>
    </w:p>
    <w:p w14:paraId="5FB007AB" w14:textId="77777777" w:rsidR="005D7D6B" w:rsidRPr="005D7D6B" w:rsidRDefault="005D7D6B" w:rsidP="005D7D6B">
      <w:pPr>
        <w:pStyle w:val="p1"/>
        <w:spacing w:before="120" w:line="276" w:lineRule="auto"/>
        <w:jc w:val="both"/>
        <w:rPr>
          <w:rFonts w:ascii="Roboto" w:eastAsiaTheme="minorHAnsi" w:hAnsi="Roboto"/>
          <w:b/>
          <w:bCs/>
          <w:color w:val="373F56"/>
          <w:kern w:val="2"/>
          <w:sz w:val="24"/>
          <w:szCs w:val="24"/>
          <w:lang w:eastAsia="en-US"/>
          <w14:ligatures w14:val="standardContextual"/>
        </w:rPr>
      </w:pPr>
    </w:p>
    <w:bookmarkEnd w:id="0"/>
    <w:p w14:paraId="37321734"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lastRenderedPageBreak/>
        <w:t>Tratándose de la afiliación indebida a un partido por no existir el consentimiento del ciudadano, se observa que, en principio, la acusación respectiva implica dos elementos:</w:t>
      </w:r>
    </w:p>
    <w:p w14:paraId="17B103A1"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-Que existió una afiliación al partido.</w:t>
      </w:r>
    </w:p>
    <w:p w14:paraId="7CE4F3E1"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-Que no medió la voluntad del ciudadano en el proceso de afiliación.</w:t>
      </w:r>
    </w:p>
    <w:p w14:paraId="766CE802" w14:textId="3F7EB80D"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En cuanto al primer aspecto, opera la regla general relativa a que el que afirma está obligado a probar su dicho</w:t>
      </w:r>
      <w:r w:rsidR="00FE490F" w:rsidRPr="005D7D6B">
        <w:rPr>
          <w:rStyle w:val="Refdenotaalpie"/>
          <w:rFonts w:ascii="Roboto" w:eastAsiaTheme="minorHAnsi" w:hAnsi="Roboto"/>
          <w:color w:val="373F56"/>
          <w:kern w:val="2"/>
          <w:sz w:val="24"/>
          <w:szCs w:val="24"/>
          <w:lang w:eastAsia="en-US"/>
          <w14:ligatures w14:val="standardContextual"/>
        </w:rPr>
        <w:footnoteReference w:id="9"/>
      </w:r>
      <w:r w:rsidRPr="005D7D6B">
        <w:rPr>
          <w:rFonts w:ascii="Roboto" w:eastAsiaTheme="minorHAnsi" w:hAnsi="Roboto"/>
          <w:color w:val="373F56"/>
          <w:kern w:val="2"/>
          <w:sz w:val="24"/>
          <w:szCs w:val="24"/>
          <w:lang w:eastAsia="en-US"/>
          <w14:ligatures w14:val="standardContextual"/>
        </w:rPr>
        <w:t>,</w:t>
      </w:r>
      <w:r w:rsidR="00FE490F" w:rsidRPr="005D7D6B">
        <w:rPr>
          <w:rFonts w:ascii="Roboto" w:eastAsiaTheme="minorHAnsi" w:hAnsi="Roboto"/>
          <w:color w:val="373F56"/>
          <w:kern w:val="2"/>
          <w:sz w:val="24"/>
          <w:szCs w:val="24"/>
          <w:lang w:eastAsia="en-US"/>
          <w14:ligatures w14:val="standardContextual"/>
        </w:rPr>
        <w:t xml:space="preserve"> </w:t>
      </w:r>
      <w:r w:rsidRPr="005D7D6B">
        <w:rPr>
          <w:rFonts w:ascii="Roboto" w:eastAsiaTheme="minorHAnsi" w:hAnsi="Roboto"/>
          <w:color w:val="373F56"/>
          <w:kern w:val="2"/>
          <w:sz w:val="24"/>
          <w:szCs w:val="24"/>
          <w:lang w:eastAsia="en-US"/>
          <w14:ligatures w14:val="standardContextual"/>
        </w:rPr>
        <w:t>lo que implica que el denunciante tiene, en principio la carga de justificar que fue afiliado al partido que denuncia.</w:t>
      </w:r>
      <w:r w:rsidR="00FE490F" w:rsidRPr="005D7D6B">
        <w:rPr>
          <w:rFonts w:ascii="Roboto" w:eastAsiaTheme="minorHAnsi" w:hAnsi="Roboto"/>
          <w:color w:val="373F56"/>
          <w:kern w:val="2"/>
          <w:sz w:val="24"/>
          <w:szCs w:val="24"/>
          <w:lang w:eastAsia="en-US"/>
          <w14:ligatures w14:val="standardContextual"/>
        </w:rPr>
        <w:t xml:space="preserve"> </w:t>
      </w:r>
    </w:p>
    <w:p w14:paraId="4B0D9CDF" w14:textId="7BCE542E"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Sin embargo, puede ocurrir que con motivo de la investigación que realice la autoridad administrativa electoral</w:t>
      </w:r>
      <w:r w:rsidR="00FE490F" w:rsidRPr="005D7D6B">
        <w:rPr>
          <w:rFonts w:ascii="Roboto" w:eastAsiaTheme="minorHAnsi" w:hAnsi="Roboto"/>
          <w:color w:val="373F56"/>
          <w:kern w:val="2"/>
          <w:sz w:val="24"/>
          <w:szCs w:val="24"/>
          <w:lang w:eastAsia="en-US"/>
          <w14:ligatures w14:val="standardContextual"/>
        </w:rPr>
        <w:t xml:space="preserve"> </w:t>
      </w:r>
      <w:r w:rsidR="00FE490F" w:rsidRPr="005D7D6B">
        <w:rPr>
          <w:rStyle w:val="Refdenotaalpie"/>
          <w:rFonts w:ascii="Roboto" w:eastAsiaTheme="minorHAnsi" w:hAnsi="Roboto"/>
          <w:color w:val="373F56"/>
          <w:kern w:val="2"/>
          <w:sz w:val="24"/>
          <w:szCs w:val="24"/>
          <w:lang w:eastAsia="en-US"/>
          <w14:ligatures w14:val="standardContextual"/>
        </w:rPr>
        <w:footnoteReference w:id="10"/>
      </w:r>
      <w:r w:rsidRPr="005D7D6B">
        <w:rPr>
          <w:rFonts w:ascii="Roboto" w:eastAsiaTheme="minorHAnsi" w:hAnsi="Roboto"/>
          <w:color w:val="373F56"/>
          <w:kern w:val="2"/>
          <w:sz w:val="24"/>
          <w:szCs w:val="24"/>
          <w:lang w:eastAsia="en-US"/>
          <w14:ligatures w14:val="standardContextual"/>
        </w:rPr>
        <w:t>(por ejemplo, a través del requerimiento de informes), o bien, de la contestación a la denuncia, el denunciado reconozca la afiliación, lo cual hace innecesaria cualquier actividad probatoria respecto a esa afirmación de hecho, teniendo en cuenta que no son objeto de prueba los hechos reconocidos, de conformidad con el artículo 461 de la Ley General de Instituciones y Procedimientos Electorales.</w:t>
      </w:r>
      <w:r w:rsidR="00FE490F" w:rsidRPr="005D7D6B">
        <w:rPr>
          <w:rStyle w:val="Refdenotaalpie"/>
          <w:rFonts w:ascii="Roboto" w:eastAsiaTheme="minorHAnsi" w:hAnsi="Roboto"/>
          <w:color w:val="373F56"/>
          <w:kern w:val="2"/>
          <w:sz w:val="24"/>
          <w:szCs w:val="24"/>
          <w:lang w:eastAsia="en-US"/>
          <w14:ligatures w14:val="standardContextual"/>
        </w:rPr>
        <w:footnoteReference w:id="11"/>
      </w:r>
    </w:p>
    <w:p w14:paraId="6447F27F" w14:textId="77777777" w:rsidR="00282556"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 xml:space="preserve">Respecto al segundo elemento, se observa que la prueba directa y que de manera idónea demuestra si una persona está </w:t>
      </w:r>
      <w:r w:rsidRPr="005D7D6B">
        <w:rPr>
          <w:rFonts w:ascii="Roboto" w:eastAsiaTheme="minorHAnsi" w:hAnsi="Roboto"/>
          <w:b/>
          <w:bCs/>
          <w:color w:val="373F56"/>
          <w:kern w:val="2"/>
          <w:sz w:val="24"/>
          <w:szCs w:val="24"/>
          <w:lang w:eastAsia="en-US"/>
          <w14:ligatures w14:val="standardContextual"/>
        </w:rPr>
        <w:t>afiliada voluntariamente</w:t>
      </w:r>
      <w:r w:rsidRPr="005D7D6B">
        <w:rPr>
          <w:rFonts w:ascii="Roboto" w:eastAsiaTheme="minorHAnsi" w:hAnsi="Roboto"/>
          <w:color w:val="373F56"/>
          <w:kern w:val="2"/>
          <w:sz w:val="24"/>
          <w:szCs w:val="24"/>
          <w:lang w:eastAsia="en-US"/>
          <w14:ligatures w14:val="standardContextual"/>
        </w:rPr>
        <w:t xml:space="preserve"> a un partido es la constancia de inscripción respectiva, esto es, el documento donde se asienta la expresión manifiesta de que un ciudadano desear pertenecer a un instituto político.</w:t>
      </w:r>
    </w:p>
    <w:p w14:paraId="444A00E8" w14:textId="77777777" w:rsid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eastAsiaTheme="minorHAnsi" w:hAnsi="Roboto"/>
          <w:color w:val="373F56"/>
          <w:kern w:val="2"/>
          <w:sz w:val="24"/>
          <w:szCs w:val="24"/>
          <w:lang w:eastAsia="en-US"/>
          <w14:ligatures w14:val="standardContextual"/>
        </w:rPr>
        <w:t xml:space="preserve">Si una persona alega que </w:t>
      </w:r>
      <w:r w:rsidRPr="005D7D6B">
        <w:rPr>
          <w:rFonts w:ascii="Roboto" w:eastAsiaTheme="minorHAnsi" w:hAnsi="Roboto"/>
          <w:b/>
          <w:bCs/>
          <w:color w:val="373F56"/>
          <w:kern w:val="2"/>
          <w:sz w:val="24"/>
          <w:szCs w:val="24"/>
          <w:lang w:eastAsia="en-US"/>
          <w14:ligatures w14:val="standardContextual"/>
        </w:rPr>
        <w:t>no dio su consentimiento</w:t>
      </w:r>
      <w:r w:rsidRPr="005D7D6B">
        <w:rPr>
          <w:rFonts w:ascii="Roboto" w:eastAsiaTheme="minorHAnsi" w:hAnsi="Roboto"/>
          <w:color w:val="373F56"/>
          <w:kern w:val="2"/>
          <w:sz w:val="24"/>
          <w:szCs w:val="24"/>
          <w:lang w:eastAsia="en-US"/>
          <w14:ligatures w14:val="standardContextual"/>
        </w:rPr>
        <w:t xml:space="preserve"> para pertenecer a un partido, implícitamente sostiene que no existe la constancia de afiliación atinente.</w:t>
      </w:r>
    </w:p>
    <w:p w14:paraId="5F9B3DA5" w14:textId="791C0DCA" w:rsidR="00AA6AFC" w:rsidRPr="005D7D6B" w:rsidRDefault="00282556" w:rsidP="005D7D6B">
      <w:pPr>
        <w:pStyle w:val="p1"/>
        <w:spacing w:before="120" w:line="276" w:lineRule="auto"/>
        <w:jc w:val="both"/>
        <w:rPr>
          <w:rFonts w:ascii="Roboto" w:eastAsiaTheme="minorHAnsi" w:hAnsi="Roboto"/>
          <w:color w:val="373F56"/>
          <w:kern w:val="2"/>
          <w:sz w:val="24"/>
          <w:szCs w:val="24"/>
          <w:lang w:eastAsia="en-US"/>
          <w14:ligatures w14:val="standardContextual"/>
        </w:rPr>
      </w:pPr>
      <w:r w:rsidRPr="005D7D6B">
        <w:rPr>
          <w:rFonts w:ascii="Roboto" w:hAnsi="Roboto"/>
          <w:color w:val="373F56"/>
          <w:sz w:val="24"/>
          <w:szCs w:val="24"/>
        </w:rPr>
        <w:t>En tal escenario, la parte denunciante no está obligada a probar un hecho negativo (la ausencia de voluntad) o la inexistencia de una documental, pues en términos de carga de la prueba tampoco son objeto de demostración los hechos negativos, salvo Por ese motivo, si un partido que fue acusado de afiliar a una persona sin el consentimiento del individuo se defiende reconociendo la afiliación, necesariamente deberá demostrar que la solicitud de ingreso al partido fue voluntaria, debiendo acompañar, por ejemplo, la constancia de afiliación respectiva, si desea evitar</w:t>
      </w:r>
      <w:r w:rsidRPr="005D7D6B">
        <w:rPr>
          <w:rFonts w:ascii="Roboto" w:hAnsi="Roboto" w:cstheme="minorHAnsi"/>
          <w:sz w:val="24"/>
          <w:szCs w:val="24"/>
        </w:rPr>
        <w:t xml:space="preserve"> </w:t>
      </w:r>
      <w:r w:rsidRPr="005D7D6B">
        <w:rPr>
          <w:rFonts w:ascii="Roboto" w:hAnsi="Roboto"/>
          <w:color w:val="373F56"/>
          <w:sz w:val="24"/>
          <w:szCs w:val="24"/>
        </w:rPr>
        <w:t>alguna responsabilidad.</w:t>
      </w:r>
    </w:p>
    <w:p w14:paraId="4CFE83E3" w14:textId="77777777" w:rsidR="005D7D6B" w:rsidRPr="005D7D6B" w:rsidRDefault="005D7D6B" w:rsidP="005D7D6B">
      <w:pPr>
        <w:spacing w:before="120" w:after="0" w:line="276" w:lineRule="auto"/>
        <w:ind w:left="93"/>
        <w:jc w:val="both"/>
        <w:rPr>
          <w:rFonts w:ascii="Roboto" w:hAnsi="Roboto" w:cs="Arial"/>
          <w:color w:val="373F56"/>
          <w:sz w:val="24"/>
          <w:szCs w:val="24"/>
        </w:rPr>
      </w:pPr>
    </w:p>
    <w:sectPr w:rsidR="005D7D6B" w:rsidRPr="005D7D6B" w:rsidSect="001C4015">
      <w:headerReference w:type="default" r:id="rId8"/>
      <w:pgSz w:w="12240" w:h="15840"/>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2DE2211" w14:textId="77777777" w:rsidR="00944BD2" w:rsidRDefault="00944BD2" w:rsidP="00DE1068">
      <w:pPr>
        <w:spacing w:after="0" w:line="240" w:lineRule="auto"/>
      </w:pPr>
      <w:r>
        <w:separator/>
      </w:r>
    </w:p>
  </w:endnote>
  <w:endnote w:type="continuationSeparator" w:id="0">
    <w:p w14:paraId="168B6848" w14:textId="77777777" w:rsidR="00944BD2" w:rsidRDefault="00944BD2" w:rsidP="00DE10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w:panose1 w:val="020B0604020202020204"/>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1C25D3" w14:textId="77777777" w:rsidR="00944BD2" w:rsidRDefault="00944BD2" w:rsidP="00DE1068">
      <w:pPr>
        <w:spacing w:after="0" w:line="240" w:lineRule="auto"/>
      </w:pPr>
      <w:r>
        <w:separator/>
      </w:r>
    </w:p>
  </w:footnote>
  <w:footnote w:type="continuationSeparator" w:id="0">
    <w:p w14:paraId="4FE6F8FB" w14:textId="77777777" w:rsidR="00944BD2" w:rsidRDefault="00944BD2" w:rsidP="00DE1068">
      <w:pPr>
        <w:spacing w:after="0" w:line="240" w:lineRule="auto"/>
      </w:pPr>
      <w:r>
        <w:continuationSeparator/>
      </w:r>
    </w:p>
  </w:footnote>
  <w:footnote w:id="1">
    <w:p w14:paraId="00190306" w14:textId="6DDAE655" w:rsidR="00CB2B49" w:rsidRPr="00CB2B49" w:rsidRDefault="00CB2B49">
      <w:pPr>
        <w:pStyle w:val="Textonotapie"/>
        <w:rPr>
          <w:lang w:val="es-ES_tradnl"/>
        </w:rPr>
      </w:pPr>
      <w:r>
        <w:rPr>
          <w:rStyle w:val="Refdenotaalpie"/>
        </w:rPr>
        <w:footnoteRef/>
      </w:r>
      <w:r>
        <w:t xml:space="preserve"> </w:t>
      </w:r>
      <w:r w:rsidRPr="00CB2B49">
        <w:rPr>
          <w:rFonts w:ascii="Roboto" w:hAnsi="Roboto" w:cs="Arial"/>
          <w:color w:val="373F56"/>
          <w:sz w:val="16"/>
          <w:szCs w:val="16"/>
        </w:rPr>
        <w:t>Tribunal Electoral del Poder Judicial de la Federación</w:t>
      </w:r>
      <w:r>
        <w:rPr>
          <w:rFonts w:ascii="Roboto" w:hAnsi="Roboto" w:cs="Arial"/>
          <w:color w:val="373F56"/>
          <w:sz w:val="16"/>
          <w:szCs w:val="16"/>
        </w:rPr>
        <w:t>,</w:t>
      </w:r>
      <w:r w:rsidRPr="00CB2B49">
        <w:rPr>
          <w:rFonts w:ascii="Roboto" w:hAnsi="Roboto" w:cs="Arial"/>
          <w:color w:val="373F56"/>
          <w:sz w:val="16"/>
          <w:szCs w:val="16"/>
        </w:rPr>
        <w:t xml:space="preserve"> </w:t>
      </w:r>
      <w:r w:rsidRPr="00CB2B49">
        <w:rPr>
          <w:rFonts w:ascii="Roboto" w:hAnsi="Roboto" w:cs="Arial"/>
          <w:i/>
          <w:iCs/>
          <w:color w:val="373F56"/>
          <w:sz w:val="16"/>
          <w:szCs w:val="16"/>
        </w:rPr>
        <w:t>Recurso de apelación, Expediente: SUP-RAP-289/2024</w:t>
      </w:r>
      <w:r w:rsidRPr="00CB2B49">
        <w:rPr>
          <w:rFonts w:ascii="Roboto" w:hAnsi="Roboto" w:cs="Arial"/>
          <w:color w:val="373F56"/>
          <w:sz w:val="16"/>
          <w:szCs w:val="16"/>
        </w:rPr>
        <w:t>.</w:t>
      </w:r>
    </w:p>
  </w:footnote>
  <w:footnote w:id="2">
    <w:p w14:paraId="47BBE7E4" w14:textId="47978C26" w:rsidR="00890C05" w:rsidRDefault="00890C05" w:rsidP="005D7D6B">
      <w:pPr>
        <w:pStyle w:val="Textonotapie"/>
        <w:ind w:left="142" w:hanging="142"/>
        <w:jc w:val="both"/>
      </w:pPr>
      <w:r>
        <w:rPr>
          <w:rStyle w:val="Refdenotaalpie"/>
        </w:rPr>
        <w:footnoteRef/>
      </w:r>
      <w:r>
        <w:t xml:space="preserve"> </w:t>
      </w:r>
      <w:r w:rsidRPr="00890C05">
        <w:rPr>
          <w:rFonts w:ascii="Roboto" w:hAnsi="Roboto" w:cs="Arial"/>
          <w:color w:val="373F56"/>
          <w:sz w:val="16"/>
          <w:szCs w:val="16"/>
        </w:rPr>
        <w:t>En el contexto del procedimiento para el reclutamiento, selección y contratación de las figuras de Supervisor Electoral y</w:t>
      </w:r>
      <w:r w:rsidR="005D7D6B">
        <w:rPr>
          <w:rFonts w:ascii="Roboto" w:hAnsi="Roboto" w:cs="Arial"/>
          <w:color w:val="373F56"/>
          <w:sz w:val="16"/>
          <w:szCs w:val="16"/>
        </w:rPr>
        <w:t xml:space="preserve">. </w:t>
      </w:r>
      <w:r w:rsidRPr="00890C05">
        <w:rPr>
          <w:rFonts w:ascii="Roboto" w:hAnsi="Roboto" w:cs="Arial"/>
          <w:color w:val="373F56"/>
          <w:sz w:val="16"/>
          <w:szCs w:val="16"/>
        </w:rPr>
        <w:t>Capacitador Asistente Electoral para el proceso electoral federal 2023-2024.</w:t>
      </w:r>
    </w:p>
  </w:footnote>
  <w:footnote w:id="3">
    <w:p w14:paraId="1827CB5E" w14:textId="0865733D" w:rsidR="00890C05" w:rsidRDefault="00890C05">
      <w:pPr>
        <w:pStyle w:val="Textonotapie"/>
      </w:pPr>
      <w:r>
        <w:rPr>
          <w:rStyle w:val="Refdenotaalpie"/>
        </w:rPr>
        <w:footnoteRef/>
      </w:r>
      <w:r>
        <w:t xml:space="preserve"> </w:t>
      </w:r>
      <w:r w:rsidRPr="00890C05">
        <w:rPr>
          <w:rFonts w:ascii="Roboto" w:hAnsi="Roboto" w:cs="Arial"/>
          <w:color w:val="373F56"/>
          <w:sz w:val="16"/>
          <w:szCs w:val="16"/>
        </w:rPr>
        <w:t>En lo siguiente UTCE.</w:t>
      </w:r>
    </w:p>
  </w:footnote>
  <w:footnote w:id="4">
    <w:p w14:paraId="2E66C361" w14:textId="7A846231" w:rsidR="00890C05" w:rsidRPr="005D7D6B" w:rsidRDefault="00890C05" w:rsidP="005D7D6B">
      <w:pPr>
        <w:pStyle w:val="Textonotapie"/>
        <w:ind w:left="142" w:hanging="142"/>
        <w:jc w:val="both"/>
        <w:rPr>
          <w:rFonts w:ascii="Roboto" w:hAnsi="Roboto"/>
          <w:sz w:val="16"/>
          <w:szCs w:val="16"/>
        </w:rPr>
      </w:pPr>
      <w:r w:rsidRPr="005D7D6B">
        <w:rPr>
          <w:rStyle w:val="Refdenotaalpie"/>
          <w:rFonts w:ascii="Roboto" w:hAnsi="Roboto"/>
        </w:rPr>
        <w:footnoteRef/>
      </w:r>
      <w:r w:rsidRPr="005D7D6B">
        <w:rPr>
          <w:rFonts w:ascii="Roboto" w:hAnsi="Roboto"/>
          <w:vertAlign w:val="superscript"/>
        </w:rPr>
        <w:t xml:space="preserve"> </w:t>
      </w:r>
      <w:r w:rsidRPr="005D7D6B">
        <w:rPr>
          <w:rFonts w:ascii="Roboto" w:hAnsi="Roboto" w:cs="Arial"/>
          <w:color w:val="373F56"/>
          <w:sz w:val="16"/>
          <w:szCs w:val="16"/>
        </w:rPr>
        <w:t>En adelante, Ley de Medios.</w:t>
      </w:r>
    </w:p>
  </w:footnote>
  <w:footnote w:id="5">
    <w:p w14:paraId="11CD0AE1" w14:textId="6C2CBAC7" w:rsidR="00890C05" w:rsidRPr="005D7D6B" w:rsidRDefault="00890C05" w:rsidP="005D7D6B">
      <w:pPr>
        <w:pStyle w:val="Textonotapie"/>
        <w:ind w:left="142" w:hanging="142"/>
        <w:jc w:val="both"/>
        <w:rPr>
          <w:rFonts w:ascii="Roboto" w:hAnsi="Roboto"/>
          <w:sz w:val="16"/>
          <w:szCs w:val="16"/>
        </w:rPr>
      </w:pPr>
      <w:r w:rsidRPr="005D7D6B">
        <w:rPr>
          <w:rFonts w:ascii="Roboto" w:hAnsi="Roboto" w:cs="Arial"/>
          <w:b/>
          <w:bCs/>
          <w:color w:val="373F56"/>
          <w:vertAlign w:val="superscript"/>
        </w:rPr>
        <w:footnoteRef/>
      </w:r>
      <w:r w:rsidRPr="005D7D6B">
        <w:rPr>
          <w:rFonts w:ascii="Roboto" w:hAnsi="Roboto" w:cs="Arial"/>
          <w:color w:val="373F56"/>
          <w:vertAlign w:val="superscript"/>
        </w:rPr>
        <w:t xml:space="preserve"> </w:t>
      </w:r>
      <w:r w:rsidRPr="005D7D6B">
        <w:rPr>
          <w:rFonts w:ascii="Roboto" w:hAnsi="Roboto" w:cs="Arial"/>
          <w:color w:val="373F56"/>
          <w:sz w:val="16"/>
          <w:szCs w:val="16"/>
        </w:rPr>
        <w:t>Con fundamento en los artículos 41, base VI, y 99, párrafo cuarto, fracción III, de la Constitución general; 166, fracción III, incisos a) y g), y 169, fracción I, inciso c), de la Ley Orgánica; y 3, apartado 2, inciso b); 42 y 44, apartado 1, inciso a), de la Ley de Medios.</w:t>
      </w:r>
    </w:p>
  </w:footnote>
  <w:footnote w:id="6">
    <w:p w14:paraId="46CE894B" w14:textId="4B64DC7E" w:rsidR="00890C05" w:rsidRDefault="00890C05" w:rsidP="005D7D6B">
      <w:pPr>
        <w:pStyle w:val="Textonotapie"/>
        <w:ind w:left="142" w:hanging="142"/>
        <w:jc w:val="both"/>
      </w:pPr>
      <w:r w:rsidRPr="005D7D6B">
        <w:rPr>
          <w:rFonts w:ascii="Roboto" w:hAnsi="Roboto" w:cs="Arial"/>
          <w:b/>
          <w:bCs/>
          <w:color w:val="373F56"/>
          <w:vertAlign w:val="superscript"/>
        </w:rPr>
        <w:footnoteRef/>
      </w:r>
      <w:r w:rsidRPr="005D7D6B">
        <w:rPr>
          <w:rFonts w:ascii="Roboto" w:hAnsi="Roboto" w:cs="Arial"/>
          <w:color w:val="373F56"/>
        </w:rPr>
        <w:t xml:space="preserve"> </w:t>
      </w:r>
      <w:r w:rsidRPr="005D7D6B">
        <w:rPr>
          <w:rFonts w:ascii="Roboto" w:hAnsi="Roboto" w:cs="Arial"/>
          <w:color w:val="373F56"/>
          <w:sz w:val="16"/>
          <w:szCs w:val="16"/>
        </w:rPr>
        <w:t>De conformidad con lo dispuesto en los artículos 7, párrafo 1; 8, párrafo 1; 9, párrafo 1; 12, párrafo 1, incisos a) y b), y 13, párrafo 1, de la Ley de Medios</w:t>
      </w:r>
    </w:p>
  </w:footnote>
  <w:footnote w:id="7">
    <w:p w14:paraId="4C5353CF" w14:textId="4C9D78F8" w:rsidR="00890C05" w:rsidRDefault="00890C05">
      <w:pPr>
        <w:pStyle w:val="Textonotapie"/>
      </w:pPr>
      <w:r w:rsidRPr="00890C05">
        <w:rPr>
          <w:rFonts w:ascii="Roboto" w:hAnsi="Roboto" w:cs="Arial"/>
          <w:color w:val="373F56"/>
          <w:sz w:val="16"/>
          <w:szCs w:val="16"/>
        </w:rPr>
        <w:footnoteRef/>
      </w:r>
      <w:r w:rsidRPr="00890C05">
        <w:rPr>
          <w:rFonts w:ascii="Roboto" w:hAnsi="Roboto" w:cs="Arial"/>
          <w:color w:val="373F56"/>
          <w:sz w:val="16"/>
          <w:szCs w:val="16"/>
        </w:rPr>
        <w:t xml:space="preserve"> </w:t>
      </w:r>
      <w:r w:rsidRPr="00890C05">
        <w:rPr>
          <w:rFonts w:ascii="Roboto" w:hAnsi="Roboto" w:cs="Arial"/>
          <w:color w:val="373F56"/>
          <w:sz w:val="16"/>
          <w:szCs w:val="16"/>
        </w:rPr>
        <w:t>Jurisprudencia 3/2019. DERECHO DE AFILIACIÓN. LA OBLIGACIÓN DE PROBAR LA MILITANCIA CORRESPONDE AL PARTIDO POLÍTICO.</w:t>
      </w:r>
    </w:p>
  </w:footnote>
  <w:footnote w:id="8">
    <w:p w14:paraId="7FFD10E8" w14:textId="5BC8E5F8" w:rsidR="00890C05" w:rsidRDefault="00890C05">
      <w:pPr>
        <w:pStyle w:val="Textonotapie"/>
      </w:pPr>
      <w:r w:rsidRPr="00890C05">
        <w:rPr>
          <w:rFonts w:ascii="Roboto" w:hAnsi="Roboto" w:cs="Arial"/>
          <w:color w:val="373F56"/>
          <w:sz w:val="16"/>
          <w:szCs w:val="16"/>
        </w:rPr>
        <w:footnoteRef/>
      </w:r>
      <w:r w:rsidRPr="00890C05">
        <w:rPr>
          <w:rFonts w:ascii="Roboto" w:hAnsi="Roboto" w:cs="Arial"/>
          <w:color w:val="373F56"/>
          <w:sz w:val="16"/>
          <w:szCs w:val="16"/>
        </w:rPr>
        <w:t xml:space="preserve"> </w:t>
      </w:r>
      <w:r w:rsidRPr="00890C05">
        <w:rPr>
          <w:rFonts w:ascii="Roboto" w:hAnsi="Roboto" w:cs="Arial"/>
          <w:color w:val="373F56"/>
          <w:sz w:val="16"/>
          <w:szCs w:val="16"/>
        </w:rPr>
        <w:t>Jurisprudencia 4/2000, de rubro “AGRAVIOS, SU EXAMEN EN CONJUNTO O SEPARADO, NO CAUSA LESIÓN”. Justicia Electoral. Revista del Tribunal Electoral del Poder Judicial de la Federación, Suplemento 4, Año 2001, páginas 5 y 6.</w:t>
      </w:r>
    </w:p>
  </w:footnote>
  <w:footnote w:id="9">
    <w:p w14:paraId="72648F94" w14:textId="08DFAB7D" w:rsidR="00FE490F" w:rsidRDefault="00FE490F" w:rsidP="005D7D6B">
      <w:pPr>
        <w:pStyle w:val="Textonotapie"/>
        <w:ind w:left="142" w:hanging="142"/>
        <w:jc w:val="both"/>
      </w:pPr>
      <w:r w:rsidRPr="005D7D6B">
        <w:rPr>
          <w:rFonts w:ascii="Roboto" w:hAnsi="Roboto" w:cs="Arial"/>
          <w:color w:val="373F56"/>
          <w:vertAlign w:val="superscript"/>
        </w:rPr>
        <w:footnoteRef/>
      </w:r>
      <w:r w:rsidRPr="005D7D6B">
        <w:rPr>
          <w:rFonts w:ascii="Roboto" w:hAnsi="Roboto" w:cs="Arial"/>
          <w:color w:val="373F56"/>
          <w:vertAlign w:val="superscript"/>
        </w:rPr>
        <w:t xml:space="preserve"> </w:t>
      </w:r>
      <w:r w:rsidRPr="00FE490F">
        <w:rPr>
          <w:rFonts w:ascii="Roboto" w:hAnsi="Roboto" w:cs="Arial"/>
          <w:color w:val="373F56"/>
          <w:sz w:val="16"/>
          <w:szCs w:val="16"/>
        </w:rPr>
        <w:t>La regla relativa a que “el que afirma está obligado a probar” no aparece expresa en la LGIPE, pero se obtiene de la aplicación supletoria de la Ley de medios a partir del artículo 461 de la LGIPE, en relación el diverso 441 de ese ordenamiento y 15, segundo párrafo, de la Ley de Medios.</w:t>
      </w:r>
    </w:p>
  </w:footnote>
  <w:footnote w:id="10">
    <w:p w14:paraId="1E663A44" w14:textId="30AEFD9D" w:rsidR="00FE490F" w:rsidRDefault="00FE490F" w:rsidP="005D7D6B">
      <w:pPr>
        <w:pStyle w:val="Textonotapie"/>
        <w:ind w:left="142" w:hanging="142"/>
        <w:jc w:val="both"/>
      </w:pPr>
      <w:r w:rsidRPr="005D7D6B">
        <w:rPr>
          <w:rFonts w:ascii="Roboto" w:hAnsi="Roboto" w:cs="Arial"/>
          <w:color w:val="373F56"/>
          <w:vertAlign w:val="superscript"/>
        </w:rPr>
        <w:footnoteRef/>
      </w:r>
      <w:r w:rsidRPr="005D7D6B">
        <w:rPr>
          <w:rFonts w:ascii="Roboto" w:hAnsi="Roboto" w:cs="Arial"/>
          <w:color w:val="373F56"/>
          <w:vertAlign w:val="superscript"/>
        </w:rPr>
        <w:t xml:space="preserve"> </w:t>
      </w:r>
      <w:r w:rsidRPr="00FE490F">
        <w:rPr>
          <w:rFonts w:ascii="Roboto" w:hAnsi="Roboto" w:cs="Arial"/>
          <w:color w:val="373F56"/>
          <w:sz w:val="16"/>
          <w:szCs w:val="16"/>
        </w:rPr>
        <w:t>De conformidad con los artículos 468 de la LGIPE y 17 del Reglamento de Quejas y Denuncias del INE.</w:t>
      </w:r>
    </w:p>
  </w:footnote>
  <w:footnote w:id="11">
    <w:p w14:paraId="35805236" w14:textId="22413302" w:rsidR="00FE490F" w:rsidRDefault="00FE490F" w:rsidP="005D7D6B">
      <w:pPr>
        <w:pStyle w:val="Textonotapie"/>
        <w:ind w:left="142" w:hanging="142"/>
        <w:jc w:val="both"/>
      </w:pPr>
      <w:r w:rsidRPr="005D7D6B">
        <w:rPr>
          <w:rFonts w:ascii="Roboto" w:hAnsi="Roboto" w:cs="Arial"/>
          <w:color w:val="373F56"/>
          <w:vertAlign w:val="superscript"/>
        </w:rPr>
        <w:footnoteRef/>
      </w:r>
      <w:r w:rsidRPr="005D7D6B">
        <w:rPr>
          <w:rFonts w:ascii="Roboto" w:hAnsi="Roboto" w:cs="Arial"/>
          <w:color w:val="373F56"/>
          <w:vertAlign w:val="superscript"/>
        </w:rPr>
        <w:t xml:space="preserve"> </w:t>
      </w:r>
      <w:r w:rsidRPr="00FE490F">
        <w:rPr>
          <w:rFonts w:ascii="Roboto" w:hAnsi="Roboto" w:cs="Arial"/>
          <w:color w:val="373F56"/>
          <w:sz w:val="16"/>
          <w:szCs w:val="16"/>
        </w:rPr>
        <w:t>En adelante, LGIPE.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4593FB" w14:textId="13722851" w:rsidR="00AA6AFC" w:rsidRDefault="001109A7">
    <w:pPr>
      <w:pStyle w:val="Encabezado"/>
    </w:pPr>
    <w:r>
      <w:rPr>
        <w:noProof/>
      </w:rPr>
      <w:drawing>
        <wp:inline distT="0" distB="0" distL="0" distR="0" wp14:anchorId="4F7E3936" wp14:editId="0AA093A4">
          <wp:extent cx="1242060" cy="327235"/>
          <wp:effectExtent l="0" t="0" r="0" b="0"/>
          <wp:docPr id="11008468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64248" cy="33308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935B37"/>
    <w:multiLevelType w:val="hybridMultilevel"/>
    <w:tmpl w:val="5BF66BEE"/>
    <w:lvl w:ilvl="0" w:tplc="50100654">
      <w:start w:val="4"/>
      <w:numFmt w:val="bullet"/>
      <w:lvlText w:val=""/>
      <w:lvlJc w:val="left"/>
      <w:pPr>
        <w:ind w:left="720" w:hanging="360"/>
      </w:pPr>
      <w:rPr>
        <w:rFonts w:ascii="Symbol" w:eastAsiaTheme="minorHAnsi" w:hAnsi="Symbol" w:cs="Arial" w:hint="default"/>
        <w:sz w:val="17"/>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12C082F"/>
    <w:multiLevelType w:val="hybridMultilevel"/>
    <w:tmpl w:val="3B22D1A4"/>
    <w:lvl w:ilvl="0" w:tplc="080A0001">
      <w:start w:val="1"/>
      <w:numFmt w:val="bullet"/>
      <w:lvlText w:val=""/>
      <w:lvlJc w:val="left"/>
      <w:pPr>
        <w:ind w:left="813" w:hanging="360"/>
      </w:pPr>
      <w:rPr>
        <w:rFonts w:ascii="Symbol" w:hAnsi="Symbol" w:hint="default"/>
      </w:rPr>
    </w:lvl>
    <w:lvl w:ilvl="1" w:tplc="080A0003" w:tentative="1">
      <w:start w:val="1"/>
      <w:numFmt w:val="bullet"/>
      <w:lvlText w:val="o"/>
      <w:lvlJc w:val="left"/>
      <w:pPr>
        <w:ind w:left="1533" w:hanging="360"/>
      </w:pPr>
      <w:rPr>
        <w:rFonts w:ascii="Courier New" w:hAnsi="Courier New" w:cs="Courier New" w:hint="default"/>
      </w:rPr>
    </w:lvl>
    <w:lvl w:ilvl="2" w:tplc="080A0005" w:tentative="1">
      <w:start w:val="1"/>
      <w:numFmt w:val="bullet"/>
      <w:lvlText w:val=""/>
      <w:lvlJc w:val="left"/>
      <w:pPr>
        <w:ind w:left="2253" w:hanging="360"/>
      </w:pPr>
      <w:rPr>
        <w:rFonts w:ascii="Wingdings" w:hAnsi="Wingdings" w:hint="default"/>
      </w:rPr>
    </w:lvl>
    <w:lvl w:ilvl="3" w:tplc="080A0001" w:tentative="1">
      <w:start w:val="1"/>
      <w:numFmt w:val="bullet"/>
      <w:lvlText w:val=""/>
      <w:lvlJc w:val="left"/>
      <w:pPr>
        <w:ind w:left="2973" w:hanging="360"/>
      </w:pPr>
      <w:rPr>
        <w:rFonts w:ascii="Symbol" w:hAnsi="Symbol" w:hint="default"/>
      </w:rPr>
    </w:lvl>
    <w:lvl w:ilvl="4" w:tplc="080A0003" w:tentative="1">
      <w:start w:val="1"/>
      <w:numFmt w:val="bullet"/>
      <w:lvlText w:val="o"/>
      <w:lvlJc w:val="left"/>
      <w:pPr>
        <w:ind w:left="3693" w:hanging="360"/>
      </w:pPr>
      <w:rPr>
        <w:rFonts w:ascii="Courier New" w:hAnsi="Courier New" w:cs="Courier New" w:hint="default"/>
      </w:rPr>
    </w:lvl>
    <w:lvl w:ilvl="5" w:tplc="080A0005" w:tentative="1">
      <w:start w:val="1"/>
      <w:numFmt w:val="bullet"/>
      <w:lvlText w:val=""/>
      <w:lvlJc w:val="left"/>
      <w:pPr>
        <w:ind w:left="4413" w:hanging="360"/>
      </w:pPr>
      <w:rPr>
        <w:rFonts w:ascii="Wingdings" w:hAnsi="Wingdings" w:hint="default"/>
      </w:rPr>
    </w:lvl>
    <w:lvl w:ilvl="6" w:tplc="080A0001" w:tentative="1">
      <w:start w:val="1"/>
      <w:numFmt w:val="bullet"/>
      <w:lvlText w:val=""/>
      <w:lvlJc w:val="left"/>
      <w:pPr>
        <w:ind w:left="5133" w:hanging="360"/>
      </w:pPr>
      <w:rPr>
        <w:rFonts w:ascii="Symbol" w:hAnsi="Symbol" w:hint="default"/>
      </w:rPr>
    </w:lvl>
    <w:lvl w:ilvl="7" w:tplc="080A0003" w:tentative="1">
      <w:start w:val="1"/>
      <w:numFmt w:val="bullet"/>
      <w:lvlText w:val="o"/>
      <w:lvlJc w:val="left"/>
      <w:pPr>
        <w:ind w:left="5853" w:hanging="360"/>
      </w:pPr>
      <w:rPr>
        <w:rFonts w:ascii="Courier New" w:hAnsi="Courier New" w:cs="Courier New" w:hint="default"/>
      </w:rPr>
    </w:lvl>
    <w:lvl w:ilvl="8" w:tplc="080A0005" w:tentative="1">
      <w:start w:val="1"/>
      <w:numFmt w:val="bullet"/>
      <w:lvlText w:val=""/>
      <w:lvlJc w:val="left"/>
      <w:pPr>
        <w:ind w:left="6573" w:hanging="360"/>
      </w:pPr>
      <w:rPr>
        <w:rFonts w:ascii="Wingdings" w:hAnsi="Wingdings" w:hint="default"/>
      </w:rPr>
    </w:lvl>
  </w:abstractNum>
  <w:abstractNum w:abstractNumId="2" w15:restartNumberingAfterBreak="0">
    <w:nsid w:val="179908DB"/>
    <w:multiLevelType w:val="hybridMultilevel"/>
    <w:tmpl w:val="7422DD4A"/>
    <w:lvl w:ilvl="0" w:tplc="1F149758">
      <w:numFmt w:val="bullet"/>
      <w:lvlText w:val="•"/>
      <w:lvlJc w:val="left"/>
      <w:pPr>
        <w:ind w:left="705" w:hanging="612"/>
      </w:pPr>
      <w:rPr>
        <w:rFonts w:ascii="Roboto" w:eastAsiaTheme="minorHAnsi" w:hAnsi="Roboto" w:cs="Arial" w:hint="default"/>
      </w:rPr>
    </w:lvl>
    <w:lvl w:ilvl="1" w:tplc="080A0003" w:tentative="1">
      <w:start w:val="1"/>
      <w:numFmt w:val="bullet"/>
      <w:lvlText w:val="o"/>
      <w:lvlJc w:val="left"/>
      <w:pPr>
        <w:ind w:left="1173" w:hanging="360"/>
      </w:pPr>
      <w:rPr>
        <w:rFonts w:ascii="Courier New" w:hAnsi="Courier New" w:cs="Courier New" w:hint="default"/>
      </w:rPr>
    </w:lvl>
    <w:lvl w:ilvl="2" w:tplc="080A0005" w:tentative="1">
      <w:start w:val="1"/>
      <w:numFmt w:val="bullet"/>
      <w:lvlText w:val=""/>
      <w:lvlJc w:val="left"/>
      <w:pPr>
        <w:ind w:left="1893" w:hanging="360"/>
      </w:pPr>
      <w:rPr>
        <w:rFonts w:ascii="Wingdings" w:hAnsi="Wingdings" w:hint="default"/>
      </w:rPr>
    </w:lvl>
    <w:lvl w:ilvl="3" w:tplc="080A0001" w:tentative="1">
      <w:start w:val="1"/>
      <w:numFmt w:val="bullet"/>
      <w:lvlText w:val=""/>
      <w:lvlJc w:val="left"/>
      <w:pPr>
        <w:ind w:left="2613" w:hanging="360"/>
      </w:pPr>
      <w:rPr>
        <w:rFonts w:ascii="Symbol" w:hAnsi="Symbol" w:hint="default"/>
      </w:rPr>
    </w:lvl>
    <w:lvl w:ilvl="4" w:tplc="080A0003" w:tentative="1">
      <w:start w:val="1"/>
      <w:numFmt w:val="bullet"/>
      <w:lvlText w:val="o"/>
      <w:lvlJc w:val="left"/>
      <w:pPr>
        <w:ind w:left="3333" w:hanging="360"/>
      </w:pPr>
      <w:rPr>
        <w:rFonts w:ascii="Courier New" w:hAnsi="Courier New" w:cs="Courier New" w:hint="default"/>
      </w:rPr>
    </w:lvl>
    <w:lvl w:ilvl="5" w:tplc="080A0005" w:tentative="1">
      <w:start w:val="1"/>
      <w:numFmt w:val="bullet"/>
      <w:lvlText w:val=""/>
      <w:lvlJc w:val="left"/>
      <w:pPr>
        <w:ind w:left="4053" w:hanging="360"/>
      </w:pPr>
      <w:rPr>
        <w:rFonts w:ascii="Wingdings" w:hAnsi="Wingdings" w:hint="default"/>
      </w:rPr>
    </w:lvl>
    <w:lvl w:ilvl="6" w:tplc="080A0001" w:tentative="1">
      <w:start w:val="1"/>
      <w:numFmt w:val="bullet"/>
      <w:lvlText w:val=""/>
      <w:lvlJc w:val="left"/>
      <w:pPr>
        <w:ind w:left="4773" w:hanging="360"/>
      </w:pPr>
      <w:rPr>
        <w:rFonts w:ascii="Symbol" w:hAnsi="Symbol" w:hint="default"/>
      </w:rPr>
    </w:lvl>
    <w:lvl w:ilvl="7" w:tplc="080A0003" w:tentative="1">
      <w:start w:val="1"/>
      <w:numFmt w:val="bullet"/>
      <w:lvlText w:val="o"/>
      <w:lvlJc w:val="left"/>
      <w:pPr>
        <w:ind w:left="5493" w:hanging="360"/>
      </w:pPr>
      <w:rPr>
        <w:rFonts w:ascii="Courier New" w:hAnsi="Courier New" w:cs="Courier New" w:hint="default"/>
      </w:rPr>
    </w:lvl>
    <w:lvl w:ilvl="8" w:tplc="080A0005" w:tentative="1">
      <w:start w:val="1"/>
      <w:numFmt w:val="bullet"/>
      <w:lvlText w:val=""/>
      <w:lvlJc w:val="left"/>
      <w:pPr>
        <w:ind w:left="6213" w:hanging="360"/>
      </w:pPr>
      <w:rPr>
        <w:rFonts w:ascii="Wingdings" w:hAnsi="Wingdings" w:hint="default"/>
      </w:rPr>
    </w:lvl>
  </w:abstractNum>
  <w:abstractNum w:abstractNumId="3" w15:restartNumberingAfterBreak="0">
    <w:nsid w:val="3257018D"/>
    <w:multiLevelType w:val="multilevel"/>
    <w:tmpl w:val="CA2237AE"/>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tabs>
          <w:tab w:val="num" w:pos="1893"/>
        </w:tabs>
        <w:ind w:left="1893" w:hanging="360"/>
      </w:pPr>
      <w:rPr>
        <w:b/>
        <w:bCs/>
      </w:r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abstractNum w:abstractNumId="4" w15:restartNumberingAfterBreak="0">
    <w:nsid w:val="37D233A3"/>
    <w:multiLevelType w:val="hybridMultilevel"/>
    <w:tmpl w:val="69FA22C4"/>
    <w:lvl w:ilvl="0" w:tplc="14208AE8">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 w15:restartNumberingAfterBreak="0">
    <w:nsid w:val="5BEF26E6"/>
    <w:multiLevelType w:val="hybridMultilevel"/>
    <w:tmpl w:val="FC76C27E"/>
    <w:lvl w:ilvl="0" w:tplc="E7A40D4E">
      <w:numFmt w:val="bullet"/>
      <w:lvlText w:val="•"/>
      <w:lvlJc w:val="left"/>
      <w:pPr>
        <w:ind w:left="720" w:hanging="360"/>
      </w:pPr>
      <w:rPr>
        <w:rFonts w:ascii="Helvetica" w:eastAsia="Helvetica Neue" w:hAnsi="Helvetica" w:cs="Helvetica"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6E910D0A"/>
    <w:multiLevelType w:val="multilevel"/>
    <w:tmpl w:val="894E154C"/>
    <w:lvl w:ilvl="0">
      <w:start w:val="1"/>
      <w:numFmt w:val="decimal"/>
      <w:lvlText w:val="%1."/>
      <w:lvlJc w:val="left"/>
      <w:pPr>
        <w:tabs>
          <w:tab w:val="num" w:pos="-267"/>
        </w:tabs>
        <w:ind w:left="-267" w:hanging="360"/>
      </w:pPr>
    </w:lvl>
    <w:lvl w:ilvl="1">
      <w:start w:val="1"/>
      <w:numFmt w:val="bullet"/>
      <w:lvlText w:val=""/>
      <w:lvlJc w:val="left"/>
      <w:pPr>
        <w:ind w:left="453" w:hanging="360"/>
      </w:pPr>
      <w:rPr>
        <w:rFonts w:ascii="Symbol" w:hAnsi="Symbol" w:hint="default"/>
      </w:r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abstractNum w:abstractNumId="7" w15:restartNumberingAfterBreak="0">
    <w:nsid w:val="76323A57"/>
    <w:multiLevelType w:val="multilevel"/>
    <w:tmpl w:val="E96C525A"/>
    <w:lvl w:ilvl="0">
      <w:start w:val="1"/>
      <w:numFmt w:val="decimal"/>
      <w:lvlText w:val="%1."/>
      <w:lvlJc w:val="left"/>
      <w:pPr>
        <w:tabs>
          <w:tab w:val="num" w:pos="-267"/>
        </w:tabs>
        <w:ind w:left="-267" w:hanging="360"/>
      </w:pPr>
    </w:lvl>
    <w:lvl w:ilvl="1">
      <w:start w:val="1"/>
      <w:numFmt w:val="decimal"/>
      <w:lvlText w:val="%2."/>
      <w:lvlJc w:val="left"/>
      <w:pPr>
        <w:tabs>
          <w:tab w:val="num" w:pos="453"/>
        </w:tabs>
        <w:ind w:left="453" w:hanging="360"/>
      </w:pPr>
    </w:lvl>
    <w:lvl w:ilvl="2">
      <w:start w:val="1"/>
      <w:numFmt w:val="lowerLetter"/>
      <w:lvlText w:val="%3."/>
      <w:lvlJc w:val="left"/>
      <w:pPr>
        <w:ind w:left="1173" w:hanging="360"/>
      </w:pPr>
    </w:lvl>
    <w:lvl w:ilvl="3">
      <w:start w:val="1"/>
      <w:numFmt w:val="decimal"/>
      <w:lvlText w:val="%4."/>
      <w:lvlJc w:val="left"/>
      <w:pPr>
        <w:ind w:left="1893" w:hanging="360"/>
      </w:pPr>
    </w:lvl>
    <w:lvl w:ilvl="4" w:tentative="1">
      <w:start w:val="1"/>
      <w:numFmt w:val="decimal"/>
      <w:lvlText w:val="%5."/>
      <w:lvlJc w:val="left"/>
      <w:pPr>
        <w:tabs>
          <w:tab w:val="num" w:pos="2613"/>
        </w:tabs>
        <w:ind w:left="2613" w:hanging="360"/>
      </w:pPr>
    </w:lvl>
    <w:lvl w:ilvl="5" w:tentative="1">
      <w:start w:val="1"/>
      <w:numFmt w:val="decimal"/>
      <w:lvlText w:val="%6."/>
      <w:lvlJc w:val="left"/>
      <w:pPr>
        <w:tabs>
          <w:tab w:val="num" w:pos="3333"/>
        </w:tabs>
        <w:ind w:left="3333" w:hanging="360"/>
      </w:pPr>
    </w:lvl>
    <w:lvl w:ilvl="6" w:tentative="1">
      <w:start w:val="1"/>
      <w:numFmt w:val="decimal"/>
      <w:lvlText w:val="%7."/>
      <w:lvlJc w:val="left"/>
      <w:pPr>
        <w:tabs>
          <w:tab w:val="num" w:pos="4053"/>
        </w:tabs>
        <w:ind w:left="4053" w:hanging="360"/>
      </w:pPr>
    </w:lvl>
    <w:lvl w:ilvl="7" w:tentative="1">
      <w:start w:val="1"/>
      <w:numFmt w:val="decimal"/>
      <w:lvlText w:val="%8."/>
      <w:lvlJc w:val="left"/>
      <w:pPr>
        <w:tabs>
          <w:tab w:val="num" w:pos="4773"/>
        </w:tabs>
        <w:ind w:left="4773" w:hanging="360"/>
      </w:pPr>
    </w:lvl>
    <w:lvl w:ilvl="8" w:tentative="1">
      <w:start w:val="1"/>
      <w:numFmt w:val="decimal"/>
      <w:lvlText w:val="%9."/>
      <w:lvlJc w:val="left"/>
      <w:pPr>
        <w:tabs>
          <w:tab w:val="num" w:pos="5493"/>
        </w:tabs>
        <w:ind w:left="5493" w:hanging="360"/>
      </w:pPr>
    </w:lvl>
  </w:abstractNum>
  <w:num w:numId="1" w16cid:durableId="1443181711">
    <w:abstractNumId w:val="3"/>
  </w:num>
  <w:num w:numId="2" w16cid:durableId="1590844648">
    <w:abstractNumId w:val="7"/>
  </w:num>
  <w:num w:numId="3" w16cid:durableId="1480539671">
    <w:abstractNumId w:val="6"/>
  </w:num>
  <w:num w:numId="4" w16cid:durableId="1158349660">
    <w:abstractNumId w:val="1"/>
  </w:num>
  <w:num w:numId="5" w16cid:durableId="927233879">
    <w:abstractNumId w:val="2"/>
  </w:num>
  <w:num w:numId="6" w16cid:durableId="1918703457">
    <w:abstractNumId w:val="4"/>
  </w:num>
  <w:num w:numId="7" w16cid:durableId="196503424">
    <w:abstractNumId w:val="5"/>
  </w:num>
  <w:num w:numId="8" w16cid:durableId="204251504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4B"/>
    <w:rsid w:val="0009725E"/>
    <w:rsid w:val="000B1613"/>
    <w:rsid w:val="000E4605"/>
    <w:rsid w:val="001109A7"/>
    <w:rsid w:val="0015342C"/>
    <w:rsid w:val="00184E64"/>
    <w:rsid w:val="001C4015"/>
    <w:rsid w:val="001F7294"/>
    <w:rsid w:val="002216F6"/>
    <w:rsid w:val="00272F0D"/>
    <w:rsid w:val="00282556"/>
    <w:rsid w:val="002B6121"/>
    <w:rsid w:val="002D4629"/>
    <w:rsid w:val="00382D22"/>
    <w:rsid w:val="003F2EE0"/>
    <w:rsid w:val="00413A8F"/>
    <w:rsid w:val="004E7FD3"/>
    <w:rsid w:val="005035CA"/>
    <w:rsid w:val="00567923"/>
    <w:rsid w:val="00574C8A"/>
    <w:rsid w:val="00592248"/>
    <w:rsid w:val="005D7D6B"/>
    <w:rsid w:val="006F21C6"/>
    <w:rsid w:val="006F6B84"/>
    <w:rsid w:val="00701446"/>
    <w:rsid w:val="00745D2F"/>
    <w:rsid w:val="00746311"/>
    <w:rsid w:val="00752C68"/>
    <w:rsid w:val="00775427"/>
    <w:rsid w:val="007A2A4B"/>
    <w:rsid w:val="0080301F"/>
    <w:rsid w:val="008076F1"/>
    <w:rsid w:val="0081054B"/>
    <w:rsid w:val="008144F2"/>
    <w:rsid w:val="008321AF"/>
    <w:rsid w:val="00856A3F"/>
    <w:rsid w:val="00872B2A"/>
    <w:rsid w:val="00890C05"/>
    <w:rsid w:val="008B3E87"/>
    <w:rsid w:val="008E466F"/>
    <w:rsid w:val="00944BD2"/>
    <w:rsid w:val="009B43F2"/>
    <w:rsid w:val="009F3FF3"/>
    <w:rsid w:val="00A42081"/>
    <w:rsid w:val="00A43A3A"/>
    <w:rsid w:val="00A52354"/>
    <w:rsid w:val="00AA6AFC"/>
    <w:rsid w:val="00AC0B9E"/>
    <w:rsid w:val="00B9441A"/>
    <w:rsid w:val="00B94AE2"/>
    <w:rsid w:val="00BA101D"/>
    <w:rsid w:val="00C04934"/>
    <w:rsid w:val="00C43960"/>
    <w:rsid w:val="00C52D31"/>
    <w:rsid w:val="00CA578E"/>
    <w:rsid w:val="00CB2B49"/>
    <w:rsid w:val="00CE65FE"/>
    <w:rsid w:val="00D2140B"/>
    <w:rsid w:val="00DA4358"/>
    <w:rsid w:val="00DE1068"/>
    <w:rsid w:val="00DF1972"/>
    <w:rsid w:val="00E1362F"/>
    <w:rsid w:val="00E567B5"/>
    <w:rsid w:val="00E56B8A"/>
    <w:rsid w:val="00E9611A"/>
    <w:rsid w:val="00EB04A6"/>
    <w:rsid w:val="00EC1745"/>
    <w:rsid w:val="00EF2AE7"/>
    <w:rsid w:val="00FD02DE"/>
    <w:rsid w:val="00FE490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41523"/>
  <w15:chartTrackingRefBased/>
  <w15:docId w15:val="{485AE3E9-E237-48FB-B21B-90D62F1B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A2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A2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A2A4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7A2A4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A2A4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A2A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A2A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A2A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A2A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A2A4B"/>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A2A4B"/>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A2A4B"/>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7A2A4B"/>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A2A4B"/>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A2A4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A2A4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A2A4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A2A4B"/>
    <w:rPr>
      <w:rFonts w:eastAsiaTheme="majorEastAsia" w:cstheme="majorBidi"/>
      <w:color w:val="272727" w:themeColor="text1" w:themeTint="D8"/>
    </w:rPr>
  </w:style>
  <w:style w:type="paragraph" w:styleId="Ttulo">
    <w:name w:val="Title"/>
    <w:basedOn w:val="Normal"/>
    <w:next w:val="Normal"/>
    <w:link w:val="TtuloCar"/>
    <w:uiPriority w:val="10"/>
    <w:qFormat/>
    <w:rsid w:val="007A2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A2A4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A2A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A2A4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A2A4B"/>
    <w:pPr>
      <w:spacing w:before="160"/>
      <w:jc w:val="center"/>
    </w:pPr>
    <w:rPr>
      <w:i/>
      <w:iCs/>
      <w:color w:val="404040" w:themeColor="text1" w:themeTint="BF"/>
    </w:rPr>
  </w:style>
  <w:style w:type="character" w:customStyle="1" w:styleId="CitaCar">
    <w:name w:val="Cita Car"/>
    <w:basedOn w:val="Fuentedeprrafopredeter"/>
    <w:link w:val="Cita"/>
    <w:uiPriority w:val="29"/>
    <w:rsid w:val="007A2A4B"/>
    <w:rPr>
      <w:i/>
      <w:iCs/>
      <w:color w:val="404040" w:themeColor="text1" w:themeTint="BF"/>
    </w:rPr>
  </w:style>
  <w:style w:type="paragraph" w:styleId="Prrafodelista">
    <w:name w:val="List Paragraph"/>
    <w:aliases w:val="CNBV Parrafo1,Párrafo de lista1,Listas,AB List 1,Bullet Points,Bullet List,FooterText,numbered,Paragraphe de liste1,List Paragraph1,Bulletr List Paragraph,Parrafo 1,List Paragraph-Thesis,Dot pt,List Paragraph Char Char Char,Bullet 1,lp1"/>
    <w:basedOn w:val="Normal"/>
    <w:link w:val="PrrafodelistaCar"/>
    <w:uiPriority w:val="34"/>
    <w:qFormat/>
    <w:rsid w:val="007A2A4B"/>
    <w:pPr>
      <w:ind w:left="720"/>
      <w:contextualSpacing/>
    </w:pPr>
  </w:style>
  <w:style w:type="character" w:styleId="nfasisintenso">
    <w:name w:val="Intense Emphasis"/>
    <w:basedOn w:val="Fuentedeprrafopredeter"/>
    <w:uiPriority w:val="21"/>
    <w:qFormat/>
    <w:rsid w:val="007A2A4B"/>
    <w:rPr>
      <w:i/>
      <w:iCs/>
      <w:color w:val="2F5496" w:themeColor="accent1" w:themeShade="BF"/>
    </w:rPr>
  </w:style>
  <w:style w:type="paragraph" w:styleId="Citadestacada">
    <w:name w:val="Intense Quote"/>
    <w:basedOn w:val="Normal"/>
    <w:next w:val="Normal"/>
    <w:link w:val="CitadestacadaCar"/>
    <w:uiPriority w:val="30"/>
    <w:qFormat/>
    <w:rsid w:val="007A2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A2A4B"/>
    <w:rPr>
      <w:i/>
      <w:iCs/>
      <w:color w:val="2F5496" w:themeColor="accent1" w:themeShade="BF"/>
    </w:rPr>
  </w:style>
  <w:style w:type="character" w:styleId="Referenciaintensa">
    <w:name w:val="Intense Reference"/>
    <w:basedOn w:val="Fuentedeprrafopredeter"/>
    <w:uiPriority w:val="32"/>
    <w:qFormat/>
    <w:rsid w:val="007A2A4B"/>
    <w:rPr>
      <w:b/>
      <w:bCs/>
      <w:smallCaps/>
      <w:color w:val="2F5496" w:themeColor="accent1" w:themeShade="BF"/>
      <w:spacing w:val="5"/>
    </w:rPr>
  </w:style>
  <w:style w:type="character" w:customStyle="1" w:styleId="normaltextrun">
    <w:name w:val="normaltextrun"/>
    <w:basedOn w:val="Fuentedeprrafopredeter"/>
    <w:rsid w:val="007A2A4B"/>
  </w:style>
  <w:style w:type="paragraph" w:styleId="Encabezado">
    <w:name w:val="header"/>
    <w:basedOn w:val="Normal"/>
    <w:link w:val="EncabezadoCar"/>
    <w:uiPriority w:val="99"/>
    <w:unhideWhenUsed/>
    <w:rsid w:val="00DE1068"/>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DE1068"/>
  </w:style>
  <w:style w:type="paragraph" w:styleId="Piedepgina">
    <w:name w:val="footer"/>
    <w:basedOn w:val="Normal"/>
    <w:link w:val="PiedepginaCar"/>
    <w:uiPriority w:val="99"/>
    <w:unhideWhenUsed/>
    <w:rsid w:val="00DE1068"/>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DE1068"/>
  </w:style>
  <w:style w:type="paragraph" w:styleId="TDC2">
    <w:name w:val="toc 2"/>
    <w:basedOn w:val="Normal"/>
    <w:next w:val="Normal"/>
    <w:autoRedefine/>
    <w:uiPriority w:val="39"/>
    <w:unhideWhenUsed/>
    <w:rsid w:val="00DE1068"/>
    <w:pPr>
      <w:spacing w:after="100" w:line="278" w:lineRule="auto"/>
      <w:ind w:left="240"/>
      <w:jc w:val="both"/>
    </w:pPr>
    <w:rPr>
      <w:sz w:val="24"/>
      <w:szCs w:val="24"/>
    </w:rPr>
  </w:style>
  <w:style w:type="paragraph" w:styleId="Textonotapie">
    <w:name w:val="footnote text"/>
    <w:basedOn w:val="Normal"/>
    <w:link w:val="TextonotapieCar"/>
    <w:uiPriority w:val="99"/>
    <w:unhideWhenUsed/>
    <w:rsid w:val="00DE1068"/>
    <w:pPr>
      <w:spacing w:after="0" w:line="240" w:lineRule="auto"/>
    </w:pPr>
    <w:rPr>
      <w:rFonts w:ascii="Arial" w:hAnsi="Arial"/>
      <w:sz w:val="20"/>
      <w:szCs w:val="20"/>
    </w:rPr>
  </w:style>
  <w:style w:type="character" w:customStyle="1" w:styleId="TextonotapieCar">
    <w:name w:val="Texto nota pie Car"/>
    <w:basedOn w:val="Fuentedeprrafopredeter"/>
    <w:link w:val="Textonotapie"/>
    <w:uiPriority w:val="99"/>
    <w:rsid w:val="00DE1068"/>
    <w:rPr>
      <w:rFonts w:ascii="Arial" w:hAnsi="Arial"/>
      <w:sz w:val="20"/>
      <w:szCs w:val="20"/>
    </w:rPr>
  </w:style>
  <w:style w:type="character" w:styleId="Refdenotaalpie">
    <w:name w:val="footnote reference"/>
    <w:basedOn w:val="Fuentedeprrafopredeter"/>
    <w:uiPriority w:val="99"/>
    <w:semiHidden/>
    <w:unhideWhenUsed/>
    <w:rsid w:val="00DE1068"/>
    <w:rPr>
      <w:vertAlign w:val="superscript"/>
    </w:rPr>
  </w:style>
  <w:style w:type="character" w:customStyle="1" w:styleId="PrrafodelistaCar">
    <w:name w:val="Párrafo de lista Car"/>
    <w:aliases w:val="CNBV Parrafo1 Car,Párrafo de lista1 Car,Listas Car,AB List 1 Car,Bullet Points Car,Bullet List Car,FooterText Car,numbered Car,Paragraphe de liste1 Car,List Paragraph1 Car,Bulletr List Paragraph Car,Parrafo 1 Car,Dot pt Car,lp1 Car"/>
    <w:link w:val="Prrafodelista"/>
    <w:uiPriority w:val="34"/>
    <w:qFormat/>
    <w:rsid w:val="00CA578E"/>
  </w:style>
  <w:style w:type="paragraph" w:customStyle="1" w:styleId="p1">
    <w:name w:val="p1"/>
    <w:basedOn w:val="Normal"/>
    <w:rsid w:val="00282556"/>
    <w:pPr>
      <w:spacing w:after="0" w:line="240" w:lineRule="auto"/>
    </w:pPr>
    <w:rPr>
      <w:rFonts w:ascii="Arial" w:eastAsia="Times New Roman" w:hAnsi="Arial" w:cs="Arial"/>
      <w:color w:val="000000"/>
      <w:kern w:val="0"/>
      <w:sz w:val="18"/>
      <w:szCs w:val="18"/>
      <w:lang w:eastAsia="es-MX"/>
      <w14:ligatures w14:val="none"/>
    </w:rPr>
  </w:style>
  <w:style w:type="character" w:customStyle="1" w:styleId="s1">
    <w:name w:val="s1"/>
    <w:basedOn w:val="Fuentedeprrafopredeter"/>
    <w:rsid w:val="00282556"/>
    <w:rPr>
      <w:rFonts w:ascii="Arial" w:hAnsi="Arial" w:cs="Arial" w:hint="default"/>
      <w:sz w:val="12"/>
      <w:szCs w:val="12"/>
    </w:rPr>
  </w:style>
  <w:style w:type="paragraph" w:customStyle="1" w:styleId="p2">
    <w:name w:val="p2"/>
    <w:basedOn w:val="Normal"/>
    <w:rsid w:val="00282556"/>
    <w:pPr>
      <w:spacing w:after="0" w:line="240" w:lineRule="auto"/>
    </w:pPr>
    <w:rPr>
      <w:rFonts w:ascii="Arial" w:eastAsia="Times New Roman" w:hAnsi="Arial" w:cs="Arial"/>
      <w:color w:val="000000"/>
      <w:kern w:val="0"/>
      <w:sz w:val="17"/>
      <w:szCs w:val="17"/>
      <w:lang w:eastAsia="es-MX"/>
      <w14:ligatures w14:val="none"/>
    </w:rPr>
  </w:style>
  <w:style w:type="character" w:customStyle="1" w:styleId="s2">
    <w:name w:val="s2"/>
    <w:basedOn w:val="Fuentedeprrafopredeter"/>
    <w:rsid w:val="00282556"/>
    <w:rPr>
      <w:rFonts w:ascii="Helvetica" w:hAnsi="Helvetica" w:hint="default"/>
      <w:sz w:val="17"/>
      <w:szCs w:val="17"/>
    </w:rPr>
  </w:style>
  <w:style w:type="paragraph" w:styleId="Textonotaalfinal">
    <w:name w:val="endnote text"/>
    <w:basedOn w:val="Normal"/>
    <w:link w:val="TextonotaalfinalCar"/>
    <w:uiPriority w:val="99"/>
    <w:semiHidden/>
    <w:unhideWhenUsed/>
    <w:rsid w:val="00890C05"/>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890C05"/>
    <w:rPr>
      <w:sz w:val="20"/>
      <w:szCs w:val="20"/>
    </w:rPr>
  </w:style>
  <w:style w:type="character" w:styleId="Refdenotaalfinal">
    <w:name w:val="endnote reference"/>
    <w:basedOn w:val="Fuentedeprrafopredeter"/>
    <w:uiPriority w:val="99"/>
    <w:semiHidden/>
    <w:unhideWhenUsed/>
    <w:rsid w:val="00890C0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EF9AE4-620E-4C46-A900-5C70DCEAA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1501</Words>
  <Characters>8466</Characters>
  <Application>Microsoft Office Word</Application>
  <DocSecurity>0</DocSecurity>
  <Lines>206</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Ortiz</dc:creator>
  <cp:keywords/>
  <dc:description/>
  <cp:lastModifiedBy>Direccion</cp:lastModifiedBy>
  <cp:revision>11</cp:revision>
  <cp:lastPrinted>2025-08-01T16:31:00Z</cp:lastPrinted>
  <dcterms:created xsi:type="dcterms:W3CDTF">2026-08-29T18:17:00Z</dcterms:created>
  <dcterms:modified xsi:type="dcterms:W3CDTF">2026-10-03T19:53:00Z</dcterms:modified>
</cp:coreProperties>
</file>