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EE66B" w14:textId="77777777" w:rsidR="00D338C0" w:rsidRPr="00D338C0" w:rsidRDefault="00D338C0" w:rsidP="00D338C0">
      <w:pPr>
        <w:spacing w:after="240" w:line="360" w:lineRule="auto"/>
        <w:ind w:left="93"/>
        <w:jc w:val="both"/>
        <w:rPr>
          <w:rFonts w:ascii="Roboto" w:hAnsi="Roboto" w:cs="Arial"/>
          <w:b/>
          <w:bCs/>
          <w:color w:val="373F56"/>
          <w:sz w:val="28"/>
          <w:szCs w:val="28"/>
        </w:rPr>
      </w:pPr>
      <w:r w:rsidRPr="00D338C0">
        <w:rPr>
          <w:rFonts w:ascii="Roboto" w:hAnsi="Roboto" w:cs="Arial"/>
          <w:b/>
          <w:bCs/>
          <w:color w:val="373F56"/>
          <w:sz w:val="28"/>
          <w:szCs w:val="28"/>
        </w:rPr>
        <w:t>SUP-RAP-103/2023</w:t>
      </w:r>
    </w:p>
    <w:p w14:paraId="008A968E" w14:textId="77777777" w:rsidR="00D338C0" w:rsidRPr="00D338C0" w:rsidRDefault="00D338C0" w:rsidP="00D338C0">
      <w:pPr>
        <w:spacing w:after="240" w:line="360" w:lineRule="auto"/>
        <w:ind w:left="93"/>
        <w:jc w:val="both"/>
        <w:rPr>
          <w:rFonts w:ascii="Roboto" w:hAnsi="Roboto" w:cs="Arial"/>
          <w:b/>
          <w:bCs/>
          <w:color w:val="373F56"/>
          <w:sz w:val="28"/>
          <w:szCs w:val="28"/>
        </w:rPr>
      </w:pPr>
      <w:r w:rsidRPr="00D338C0">
        <w:rPr>
          <w:rFonts w:ascii="Roboto" w:hAnsi="Roboto" w:cs="Arial"/>
          <w:b/>
          <w:bCs/>
          <w:color w:val="373F56"/>
          <w:sz w:val="28"/>
          <w:szCs w:val="28"/>
        </w:rPr>
        <w:t>Recurrente: Partido de la Revolución Democrática (PRD)</w:t>
      </w:r>
    </w:p>
    <w:p w14:paraId="5FBE667A" w14:textId="77777777" w:rsidR="00D338C0" w:rsidRPr="00D338C0" w:rsidRDefault="00D338C0" w:rsidP="00D338C0">
      <w:pPr>
        <w:spacing w:after="240" w:line="360" w:lineRule="auto"/>
        <w:ind w:left="93"/>
        <w:jc w:val="both"/>
        <w:rPr>
          <w:rFonts w:ascii="Roboto" w:hAnsi="Roboto" w:cs="Arial"/>
          <w:b/>
          <w:bCs/>
          <w:color w:val="373F56"/>
          <w:sz w:val="28"/>
          <w:szCs w:val="28"/>
        </w:rPr>
      </w:pPr>
      <w:r w:rsidRPr="00D338C0">
        <w:rPr>
          <w:rFonts w:ascii="Roboto" w:hAnsi="Roboto" w:cs="Arial"/>
          <w:b/>
          <w:bCs/>
          <w:color w:val="373F56"/>
          <w:sz w:val="28"/>
          <w:szCs w:val="28"/>
        </w:rPr>
        <w:t>Responsable: Consejo General del INE (CG del INE)</w:t>
      </w:r>
    </w:p>
    <w:p w14:paraId="13CF3A99" w14:textId="77777777" w:rsidR="00D338C0" w:rsidRDefault="00D338C0" w:rsidP="00D338C0">
      <w:pPr>
        <w:spacing w:after="240" w:line="360" w:lineRule="auto"/>
        <w:ind w:left="93"/>
        <w:jc w:val="both"/>
        <w:rPr>
          <w:rFonts w:ascii="Roboto" w:hAnsi="Roboto" w:cs="Arial"/>
          <w:b/>
          <w:bCs/>
          <w:color w:val="373F56"/>
          <w:sz w:val="28"/>
          <w:szCs w:val="28"/>
        </w:rPr>
      </w:pPr>
      <w:r w:rsidRPr="00D338C0">
        <w:rPr>
          <w:rFonts w:ascii="Roboto" w:hAnsi="Roboto" w:cs="Arial"/>
          <w:b/>
          <w:bCs/>
          <w:color w:val="373F56"/>
          <w:sz w:val="28"/>
          <w:szCs w:val="28"/>
        </w:rPr>
        <w:t>Tema: Presunta omisión de Morena por mantener actualizado su padrón de afiliación en el portal del INE</w:t>
      </w:r>
    </w:p>
    <w:p w14:paraId="25AAB6CB" w14:textId="77777777" w:rsidR="00D338C0" w:rsidRPr="00D338C0" w:rsidRDefault="00D338C0" w:rsidP="00D338C0">
      <w:pPr>
        <w:spacing w:after="240" w:line="360" w:lineRule="auto"/>
        <w:ind w:left="93"/>
        <w:jc w:val="both"/>
        <w:rPr>
          <w:rFonts w:ascii="Roboto" w:hAnsi="Roboto" w:cs="Arial"/>
          <w:color w:val="373F56"/>
          <w:sz w:val="24"/>
          <w:szCs w:val="24"/>
        </w:rPr>
      </w:pPr>
      <w:r w:rsidRPr="00D338C0">
        <w:rPr>
          <w:rFonts w:ascii="Roboto" w:hAnsi="Roboto" w:cs="Arial"/>
          <w:color w:val="373F56"/>
          <w:sz w:val="24"/>
          <w:szCs w:val="24"/>
        </w:rPr>
        <w:t xml:space="preserve">Sentencia que: </w:t>
      </w:r>
    </w:p>
    <w:p w14:paraId="213352CE" w14:textId="77777777" w:rsidR="00D338C0" w:rsidRPr="00D338C0" w:rsidRDefault="00D338C0" w:rsidP="00D338C0">
      <w:pPr>
        <w:spacing w:after="240" w:line="360" w:lineRule="auto"/>
        <w:ind w:left="93"/>
        <w:jc w:val="both"/>
        <w:rPr>
          <w:rFonts w:ascii="Roboto" w:hAnsi="Roboto" w:cs="Arial"/>
          <w:color w:val="373F56"/>
          <w:sz w:val="24"/>
          <w:szCs w:val="24"/>
        </w:rPr>
      </w:pPr>
      <w:r w:rsidRPr="00D338C0">
        <w:rPr>
          <w:rFonts w:ascii="Roboto" w:hAnsi="Roboto" w:cs="Arial"/>
          <w:color w:val="373F56"/>
          <w:sz w:val="24"/>
          <w:szCs w:val="24"/>
        </w:rPr>
        <w:t xml:space="preserve">a) confirma la resolución del Consejo General del Instituto Nacional Electoral por la que determina que no se acredita la infracción atribuida a Morena relativa a la omisión de mantener actualizado su padrón de personas afiliadas, con motivo de la demanda presentada por el Partido de la Revolución Democrática y </w:t>
      </w:r>
    </w:p>
    <w:p w14:paraId="48FC6022" w14:textId="77777777" w:rsidR="00D338C0" w:rsidRPr="00D338C0" w:rsidRDefault="00D338C0" w:rsidP="00D338C0">
      <w:pPr>
        <w:spacing w:after="240" w:line="360" w:lineRule="auto"/>
        <w:ind w:left="93"/>
        <w:jc w:val="both"/>
        <w:rPr>
          <w:rFonts w:ascii="Roboto" w:hAnsi="Roboto" w:cs="Arial"/>
          <w:color w:val="373F56"/>
          <w:sz w:val="24"/>
          <w:szCs w:val="24"/>
        </w:rPr>
      </w:pPr>
      <w:r w:rsidRPr="00D338C0">
        <w:rPr>
          <w:rFonts w:ascii="Roboto" w:hAnsi="Roboto" w:cs="Arial"/>
          <w:color w:val="373F56"/>
          <w:sz w:val="24"/>
          <w:szCs w:val="24"/>
        </w:rPr>
        <w:t>b) vincula a Morena en los términos precisados en la ejecutoria.</w:t>
      </w:r>
    </w:p>
    <w:p w14:paraId="1500D424" w14:textId="77777777" w:rsidR="00D338C0" w:rsidRPr="00D338C0" w:rsidRDefault="00D338C0" w:rsidP="00D338C0">
      <w:pPr>
        <w:spacing w:after="240" w:line="360" w:lineRule="auto"/>
        <w:ind w:left="93"/>
        <w:jc w:val="both"/>
        <w:rPr>
          <w:rFonts w:ascii="Roboto" w:hAnsi="Roboto" w:cs="Arial"/>
          <w:b/>
          <w:bCs/>
          <w:color w:val="373F56"/>
          <w:sz w:val="24"/>
          <w:szCs w:val="24"/>
        </w:rPr>
      </w:pPr>
      <w:r w:rsidRPr="00D338C0">
        <w:rPr>
          <w:rFonts w:ascii="Roboto" w:hAnsi="Roboto" w:cs="Arial"/>
          <w:b/>
          <w:bCs/>
          <w:color w:val="373F56"/>
          <w:sz w:val="24"/>
          <w:szCs w:val="24"/>
        </w:rPr>
        <w:t>Hechos</w:t>
      </w:r>
    </w:p>
    <w:p w14:paraId="5BD7301C" w14:textId="77777777" w:rsidR="00D338C0" w:rsidRPr="00D338C0" w:rsidRDefault="00D338C0" w:rsidP="00D338C0">
      <w:pPr>
        <w:spacing w:after="240" w:line="360" w:lineRule="auto"/>
        <w:ind w:left="93"/>
        <w:jc w:val="both"/>
        <w:rPr>
          <w:rFonts w:ascii="Roboto" w:hAnsi="Roboto" w:cs="Arial"/>
          <w:color w:val="373F56"/>
          <w:sz w:val="24"/>
          <w:szCs w:val="24"/>
        </w:rPr>
      </w:pPr>
      <w:r w:rsidRPr="00D338C0">
        <w:rPr>
          <w:rFonts w:ascii="Roboto" w:hAnsi="Roboto" w:cs="Arial"/>
          <w:color w:val="373F56"/>
          <w:sz w:val="24"/>
          <w:szCs w:val="24"/>
        </w:rPr>
        <w:t>Queja: El PRD presentó una queja en contra de Morena por la omisión de mantener actualizado su padrón de personas afiliadas en la página de internet del INE, al estimar que no reflejaba a la totalidad de personas que participaron en su último procedimiento de renovación de cargos partidistas.</w:t>
      </w:r>
    </w:p>
    <w:p w14:paraId="695D8380" w14:textId="77777777" w:rsidR="00D338C0" w:rsidRPr="00D338C0" w:rsidRDefault="00D338C0" w:rsidP="00D338C0">
      <w:pPr>
        <w:spacing w:after="240" w:line="360" w:lineRule="auto"/>
        <w:ind w:left="93"/>
        <w:jc w:val="both"/>
        <w:rPr>
          <w:rFonts w:ascii="Roboto" w:hAnsi="Roboto" w:cs="Arial"/>
          <w:b/>
          <w:bCs/>
          <w:color w:val="373F56"/>
          <w:sz w:val="24"/>
          <w:szCs w:val="24"/>
        </w:rPr>
      </w:pPr>
      <w:r w:rsidRPr="00D338C0">
        <w:rPr>
          <w:rFonts w:ascii="Roboto" w:hAnsi="Roboto" w:cs="Arial"/>
          <w:b/>
          <w:bCs/>
          <w:color w:val="373F56"/>
          <w:sz w:val="24"/>
          <w:szCs w:val="24"/>
        </w:rPr>
        <w:t>Resolución impugnada:</w:t>
      </w:r>
    </w:p>
    <w:p w14:paraId="438AC3D4" w14:textId="77777777" w:rsidR="00D338C0" w:rsidRPr="00D338C0" w:rsidRDefault="00D338C0" w:rsidP="00D338C0">
      <w:pPr>
        <w:spacing w:after="240" w:line="360" w:lineRule="auto"/>
        <w:ind w:left="93"/>
        <w:jc w:val="both"/>
        <w:rPr>
          <w:rFonts w:ascii="Roboto" w:hAnsi="Roboto" w:cs="Arial"/>
          <w:color w:val="373F56"/>
          <w:sz w:val="24"/>
          <w:szCs w:val="24"/>
        </w:rPr>
      </w:pPr>
      <w:r w:rsidRPr="00D338C0">
        <w:rPr>
          <w:rFonts w:ascii="Roboto" w:hAnsi="Roboto" w:cs="Arial"/>
          <w:color w:val="373F56"/>
          <w:sz w:val="24"/>
          <w:szCs w:val="24"/>
        </w:rPr>
        <w:t>El 31 de mayo, el CG del INE resolvió la queja y determinó que no se acreditaba la infracción atribuida a Morena.</w:t>
      </w:r>
    </w:p>
    <w:p w14:paraId="3D877F4C" w14:textId="77777777" w:rsidR="00D338C0" w:rsidRPr="00D338C0" w:rsidRDefault="00D338C0" w:rsidP="00D338C0">
      <w:pPr>
        <w:spacing w:after="240" w:line="360" w:lineRule="auto"/>
        <w:ind w:left="93"/>
        <w:jc w:val="both"/>
        <w:rPr>
          <w:rFonts w:ascii="Roboto" w:hAnsi="Roboto" w:cs="Arial"/>
          <w:b/>
          <w:bCs/>
          <w:color w:val="373F56"/>
          <w:sz w:val="24"/>
          <w:szCs w:val="24"/>
        </w:rPr>
      </w:pPr>
      <w:r w:rsidRPr="00D338C0">
        <w:rPr>
          <w:rFonts w:ascii="Roboto" w:hAnsi="Roboto" w:cs="Arial"/>
          <w:b/>
          <w:bCs/>
          <w:color w:val="373F56"/>
          <w:sz w:val="24"/>
          <w:szCs w:val="24"/>
        </w:rPr>
        <w:t>Recurso de apelación:</w:t>
      </w:r>
    </w:p>
    <w:p w14:paraId="5F9B3DA5" w14:textId="331596ED" w:rsidR="00AA6AFC" w:rsidRPr="00745D2F" w:rsidRDefault="00D338C0" w:rsidP="00D338C0">
      <w:pPr>
        <w:spacing w:after="240" w:line="360" w:lineRule="auto"/>
        <w:ind w:left="93"/>
        <w:jc w:val="both"/>
        <w:rPr>
          <w:rFonts w:ascii="Roboto" w:hAnsi="Roboto" w:cs="Arial"/>
          <w:color w:val="373F56"/>
          <w:sz w:val="24"/>
          <w:szCs w:val="24"/>
        </w:rPr>
      </w:pPr>
      <w:r w:rsidRPr="00D338C0">
        <w:rPr>
          <w:rFonts w:ascii="Roboto" w:hAnsi="Roboto" w:cs="Arial"/>
          <w:color w:val="373F56"/>
          <w:sz w:val="24"/>
          <w:szCs w:val="24"/>
        </w:rPr>
        <w:t>Inconforme con lo anterior, el 2 de junio, el PRD interpuso recurso de apelación ante el INE, quien lo remitió a la Sala Superior</w:t>
      </w:r>
      <w:r>
        <w:rPr>
          <w:rStyle w:val="Refdenotaalpie"/>
          <w:rFonts w:ascii="Roboto" w:hAnsi="Roboto" w:cs="Arial"/>
          <w:color w:val="373F56"/>
          <w:sz w:val="24"/>
          <w:szCs w:val="24"/>
        </w:rPr>
        <w:footnoteReference w:id="1"/>
      </w:r>
    </w:p>
    <w:sectPr w:rsidR="00AA6AFC" w:rsidRPr="00745D2F" w:rsidSect="001C4015">
      <w:headerReference w:type="default" r:id="rId8"/>
      <w:pgSz w:w="12240" w:h="15840"/>
      <w:pgMar w:top="1440"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B4526" w14:textId="77777777" w:rsidR="00A239FD" w:rsidRDefault="00A239FD" w:rsidP="00DE1068">
      <w:pPr>
        <w:spacing w:after="0" w:line="240" w:lineRule="auto"/>
      </w:pPr>
      <w:r>
        <w:separator/>
      </w:r>
    </w:p>
  </w:endnote>
  <w:endnote w:type="continuationSeparator" w:id="0">
    <w:p w14:paraId="6F0D6A5D" w14:textId="77777777" w:rsidR="00A239FD" w:rsidRDefault="00A239FD" w:rsidP="00DE1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CD15A" w14:textId="77777777" w:rsidR="00A239FD" w:rsidRDefault="00A239FD" w:rsidP="00DE1068">
      <w:pPr>
        <w:spacing w:after="0" w:line="240" w:lineRule="auto"/>
      </w:pPr>
      <w:r>
        <w:separator/>
      </w:r>
    </w:p>
  </w:footnote>
  <w:footnote w:type="continuationSeparator" w:id="0">
    <w:p w14:paraId="061D27B5" w14:textId="77777777" w:rsidR="00A239FD" w:rsidRDefault="00A239FD" w:rsidP="00DE1068">
      <w:pPr>
        <w:spacing w:after="0" w:line="240" w:lineRule="auto"/>
      </w:pPr>
      <w:r>
        <w:continuationSeparator/>
      </w:r>
    </w:p>
  </w:footnote>
  <w:footnote w:id="1">
    <w:p w14:paraId="5E4BC3CF" w14:textId="25D54D76" w:rsidR="00D338C0" w:rsidRPr="00D338C0" w:rsidRDefault="00D338C0">
      <w:pPr>
        <w:pStyle w:val="Textonotapie"/>
        <w:rPr>
          <w:color w:val="373F56"/>
          <w:lang w:val="es-ES_tradnl"/>
        </w:rPr>
      </w:pPr>
      <w:r w:rsidRPr="00D338C0">
        <w:rPr>
          <w:rStyle w:val="Refdenotaalpie"/>
          <w:color w:val="373F56"/>
        </w:rPr>
        <w:footnoteRef/>
      </w:r>
      <w:r w:rsidRPr="00D338C0">
        <w:rPr>
          <w:color w:val="373F56"/>
        </w:rPr>
        <w:t xml:space="preserve"> </w:t>
      </w:r>
      <w:r w:rsidRPr="00D338C0">
        <w:rPr>
          <w:rFonts w:ascii="Roboto" w:hAnsi="Roboto"/>
          <w:color w:val="373F56"/>
          <w:sz w:val="18"/>
          <w:szCs w:val="18"/>
        </w:rPr>
        <w:t>Tomado de: Tribunal Electoral del Poder Judicial de la Federación, Expediente: SUP-RAP-103/2023.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93FB" w14:textId="108C680C" w:rsidR="00AA6AFC" w:rsidRDefault="00C05507">
    <w:pPr>
      <w:pStyle w:val="Encabezado"/>
    </w:pPr>
    <w:r>
      <w:rPr>
        <w:noProof/>
      </w:rPr>
      <w:drawing>
        <wp:inline distT="0" distB="0" distL="0" distR="0" wp14:anchorId="7ED25F44" wp14:editId="24C6E08F">
          <wp:extent cx="1135380" cy="299129"/>
          <wp:effectExtent l="0" t="0" r="7620" b="5715"/>
          <wp:docPr id="133461623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3438" cy="30388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C082F"/>
    <w:multiLevelType w:val="hybridMultilevel"/>
    <w:tmpl w:val="3B22D1A4"/>
    <w:lvl w:ilvl="0" w:tplc="080A0001">
      <w:start w:val="1"/>
      <w:numFmt w:val="bullet"/>
      <w:lvlText w:val=""/>
      <w:lvlJc w:val="left"/>
      <w:pPr>
        <w:ind w:left="813" w:hanging="360"/>
      </w:pPr>
      <w:rPr>
        <w:rFonts w:ascii="Symbol" w:hAnsi="Symbol" w:hint="default"/>
      </w:rPr>
    </w:lvl>
    <w:lvl w:ilvl="1" w:tplc="080A0003" w:tentative="1">
      <w:start w:val="1"/>
      <w:numFmt w:val="bullet"/>
      <w:lvlText w:val="o"/>
      <w:lvlJc w:val="left"/>
      <w:pPr>
        <w:ind w:left="1533" w:hanging="360"/>
      </w:pPr>
      <w:rPr>
        <w:rFonts w:ascii="Courier New" w:hAnsi="Courier New" w:cs="Courier New" w:hint="default"/>
      </w:rPr>
    </w:lvl>
    <w:lvl w:ilvl="2" w:tplc="080A0005" w:tentative="1">
      <w:start w:val="1"/>
      <w:numFmt w:val="bullet"/>
      <w:lvlText w:val=""/>
      <w:lvlJc w:val="left"/>
      <w:pPr>
        <w:ind w:left="2253" w:hanging="360"/>
      </w:pPr>
      <w:rPr>
        <w:rFonts w:ascii="Wingdings" w:hAnsi="Wingdings" w:hint="default"/>
      </w:rPr>
    </w:lvl>
    <w:lvl w:ilvl="3" w:tplc="080A0001" w:tentative="1">
      <w:start w:val="1"/>
      <w:numFmt w:val="bullet"/>
      <w:lvlText w:val=""/>
      <w:lvlJc w:val="left"/>
      <w:pPr>
        <w:ind w:left="2973" w:hanging="360"/>
      </w:pPr>
      <w:rPr>
        <w:rFonts w:ascii="Symbol" w:hAnsi="Symbol" w:hint="default"/>
      </w:rPr>
    </w:lvl>
    <w:lvl w:ilvl="4" w:tplc="080A0003" w:tentative="1">
      <w:start w:val="1"/>
      <w:numFmt w:val="bullet"/>
      <w:lvlText w:val="o"/>
      <w:lvlJc w:val="left"/>
      <w:pPr>
        <w:ind w:left="3693" w:hanging="360"/>
      </w:pPr>
      <w:rPr>
        <w:rFonts w:ascii="Courier New" w:hAnsi="Courier New" w:cs="Courier New" w:hint="default"/>
      </w:rPr>
    </w:lvl>
    <w:lvl w:ilvl="5" w:tplc="080A0005" w:tentative="1">
      <w:start w:val="1"/>
      <w:numFmt w:val="bullet"/>
      <w:lvlText w:val=""/>
      <w:lvlJc w:val="left"/>
      <w:pPr>
        <w:ind w:left="4413" w:hanging="360"/>
      </w:pPr>
      <w:rPr>
        <w:rFonts w:ascii="Wingdings" w:hAnsi="Wingdings" w:hint="default"/>
      </w:rPr>
    </w:lvl>
    <w:lvl w:ilvl="6" w:tplc="080A0001" w:tentative="1">
      <w:start w:val="1"/>
      <w:numFmt w:val="bullet"/>
      <w:lvlText w:val=""/>
      <w:lvlJc w:val="left"/>
      <w:pPr>
        <w:ind w:left="5133" w:hanging="360"/>
      </w:pPr>
      <w:rPr>
        <w:rFonts w:ascii="Symbol" w:hAnsi="Symbol" w:hint="default"/>
      </w:rPr>
    </w:lvl>
    <w:lvl w:ilvl="7" w:tplc="080A0003" w:tentative="1">
      <w:start w:val="1"/>
      <w:numFmt w:val="bullet"/>
      <w:lvlText w:val="o"/>
      <w:lvlJc w:val="left"/>
      <w:pPr>
        <w:ind w:left="5853" w:hanging="360"/>
      </w:pPr>
      <w:rPr>
        <w:rFonts w:ascii="Courier New" w:hAnsi="Courier New" w:cs="Courier New" w:hint="default"/>
      </w:rPr>
    </w:lvl>
    <w:lvl w:ilvl="8" w:tplc="080A0005" w:tentative="1">
      <w:start w:val="1"/>
      <w:numFmt w:val="bullet"/>
      <w:lvlText w:val=""/>
      <w:lvlJc w:val="left"/>
      <w:pPr>
        <w:ind w:left="6573" w:hanging="360"/>
      </w:pPr>
      <w:rPr>
        <w:rFonts w:ascii="Wingdings" w:hAnsi="Wingdings" w:hint="default"/>
      </w:rPr>
    </w:lvl>
  </w:abstractNum>
  <w:abstractNum w:abstractNumId="1" w15:restartNumberingAfterBreak="0">
    <w:nsid w:val="179908DB"/>
    <w:multiLevelType w:val="hybridMultilevel"/>
    <w:tmpl w:val="7422DD4A"/>
    <w:lvl w:ilvl="0" w:tplc="1F149758">
      <w:numFmt w:val="bullet"/>
      <w:lvlText w:val="•"/>
      <w:lvlJc w:val="left"/>
      <w:pPr>
        <w:ind w:left="705" w:hanging="612"/>
      </w:pPr>
      <w:rPr>
        <w:rFonts w:ascii="Roboto" w:eastAsiaTheme="minorHAnsi" w:hAnsi="Roboto" w:cs="Arial" w:hint="default"/>
      </w:rPr>
    </w:lvl>
    <w:lvl w:ilvl="1" w:tplc="080A0003" w:tentative="1">
      <w:start w:val="1"/>
      <w:numFmt w:val="bullet"/>
      <w:lvlText w:val="o"/>
      <w:lvlJc w:val="left"/>
      <w:pPr>
        <w:ind w:left="1173" w:hanging="360"/>
      </w:pPr>
      <w:rPr>
        <w:rFonts w:ascii="Courier New" w:hAnsi="Courier New" w:cs="Courier New" w:hint="default"/>
      </w:rPr>
    </w:lvl>
    <w:lvl w:ilvl="2" w:tplc="080A0005" w:tentative="1">
      <w:start w:val="1"/>
      <w:numFmt w:val="bullet"/>
      <w:lvlText w:val=""/>
      <w:lvlJc w:val="left"/>
      <w:pPr>
        <w:ind w:left="1893" w:hanging="360"/>
      </w:pPr>
      <w:rPr>
        <w:rFonts w:ascii="Wingdings" w:hAnsi="Wingdings" w:hint="default"/>
      </w:rPr>
    </w:lvl>
    <w:lvl w:ilvl="3" w:tplc="080A0001" w:tentative="1">
      <w:start w:val="1"/>
      <w:numFmt w:val="bullet"/>
      <w:lvlText w:val=""/>
      <w:lvlJc w:val="left"/>
      <w:pPr>
        <w:ind w:left="2613" w:hanging="360"/>
      </w:pPr>
      <w:rPr>
        <w:rFonts w:ascii="Symbol" w:hAnsi="Symbol" w:hint="default"/>
      </w:rPr>
    </w:lvl>
    <w:lvl w:ilvl="4" w:tplc="080A0003" w:tentative="1">
      <w:start w:val="1"/>
      <w:numFmt w:val="bullet"/>
      <w:lvlText w:val="o"/>
      <w:lvlJc w:val="left"/>
      <w:pPr>
        <w:ind w:left="3333" w:hanging="360"/>
      </w:pPr>
      <w:rPr>
        <w:rFonts w:ascii="Courier New" w:hAnsi="Courier New" w:cs="Courier New" w:hint="default"/>
      </w:rPr>
    </w:lvl>
    <w:lvl w:ilvl="5" w:tplc="080A0005" w:tentative="1">
      <w:start w:val="1"/>
      <w:numFmt w:val="bullet"/>
      <w:lvlText w:val=""/>
      <w:lvlJc w:val="left"/>
      <w:pPr>
        <w:ind w:left="4053" w:hanging="360"/>
      </w:pPr>
      <w:rPr>
        <w:rFonts w:ascii="Wingdings" w:hAnsi="Wingdings" w:hint="default"/>
      </w:rPr>
    </w:lvl>
    <w:lvl w:ilvl="6" w:tplc="080A0001" w:tentative="1">
      <w:start w:val="1"/>
      <w:numFmt w:val="bullet"/>
      <w:lvlText w:val=""/>
      <w:lvlJc w:val="left"/>
      <w:pPr>
        <w:ind w:left="4773" w:hanging="360"/>
      </w:pPr>
      <w:rPr>
        <w:rFonts w:ascii="Symbol" w:hAnsi="Symbol" w:hint="default"/>
      </w:rPr>
    </w:lvl>
    <w:lvl w:ilvl="7" w:tplc="080A0003" w:tentative="1">
      <w:start w:val="1"/>
      <w:numFmt w:val="bullet"/>
      <w:lvlText w:val="o"/>
      <w:lvlJc w:val="left"/>
      <w:pPr>
        <w:ind w:left="5493" w:hanging="360"/>
      </w:pPr>
      <w:rPr>
        <w:rFonts w:ascii="Courier New" w:hAnsi="Courier New" w:cs="Courier New" w:hint="default"/>
      </w:rPr>
    </w:lvl>
    <w:lvl w:ilvl="8" w:tplc="080A0005" w:tentative="1">
      <w:start w:val="1"/>
      <w:numFmt w:val="bullet"/>
      <w:lvlText w:val=""/>
      <w:lvlJc w:val="left"/>
      <w:pPr>
        <w:ind w:left="6213" w:hanging="360"/>
      </w:pPr>
      <w:rPr>
        <w:rFonts w:ascii="Wingdings" w:hAnsi="Wingdings" w:hint="default"/>
      </w:rPr>
    </w:lvl>
  </w:abstractNum>
  <w:abstractNum w:abstractNumId="2" w15:restartNumberingAfterBreak="0">
    <w:nsid w:val="3257018D"/>
    <w:multiLevelType w:val="multilevel"/>
    <w:tmpl w:val="CA2237AE"/>
    <w:lvl w:ilvl="0">
      <w:start w:val="1"/>
      <w:numFmt w:val="decimal"/>
      <w:lvlText w:val="%1."/>
      <w:lvlJc w:val="left"/>
      <w:pPr>
        <w:tabs>
          <w:tab w:val="num" w:pos="-267"/>
        </w:tabs>
        <w:ind w:left="-267" w:hanging="360"/>
      </w:pPr>
    </w:lvl>
    <w:lvl w:ilvl="1">
      <w:start w:val="1"/>
      <w:numFmt w:val="decimal"/>
      <w:lvlText w:val="%2."/>
      <w:lvlJc w:val="left"/>
      <w:pPr>
        <w:tabs>
          <w:tab w:val="num" w:pos="453"/>
        </w:tabs>
        <w:ind w:left="453" w:hanging="360"/>
      </w:pPr>
    </w:lvl>
    <w:lvl w:ilvl="2">
      <w:start w:val="1"/>
      <w:numFmt w:val="lowerLetter"/>
      <w:lvlText w:val="%3."/>
      <w:lvlJc w:val="left"/>
      <w:pPr>
        <w:ind w:left="1173" w:hanging="360"/>
      </w:pPr>
    </w:lvl>
    <w:lvl w:ilvl="3">
      <w:start w:val="1"/>
      <w:numFmt w:val="decimal"/>
      <w:lvlText w:val="%4."/>
      <w:lvlJc w:val="left"/>
      <w:pPr>
        <w:tabs>
          <w:tab w:val="num" w:pos="1893"/>
        </w:tabs>
        <w:ind w:left="1893" w:hanging="360"/>
      </w:pPr>
      <w:rPr>
        <w:b/>
        <w:bCs/>
      </w:rPr>
    </w:lvl>
    <w:lvl w:ilvl="4" w:tentative="1">
      <w:start w:val="1"/>
      <w:numFmt w:val="decimal"/>
      <w:lvlText w:val="%5."/>
      <w:lvlJc w:val="left"/>
      <w:pPr>
        <w:tabs>
          <w:tab w:val="num" w:pos="2613"/>
        </w:tabs>
        <w:ind w:left="2613" w:hanging="360"/>
      </w:pPr>
    </w:lvl>
    <w:lvl w:ilvl="5" w:tentative="1">
      <w:start w:val="1"/>
      <w:numFmt w:val="decimal"/>
      <w:lvlText w:val="%6."/>
      <w:lvlJc w:val="left"/>
      <w:pPr>
        <w:tabs>
          <w:tab w:val="num" w:pos="3333"/>
        </w:tabs>
        <w:ind w:left="3333" w:hanging="360"/>
      </w:pPr>
    </w:lvl>
    <w:lvl w:ilvl="6" w:tentative="1">
      <w:start w:val="1"/>
      <w:numFmt w:val="decimal"/>
      <w:lvlText w:val="%7."/>
      <w:lvlJc w:val="left"/>
      <w:pPr>
        <w:tabs>
          <w:tab w:val="num" w:pos="4053"/>
        </w:tabs>
        <w:ind w:left="4053" w:hanging="360"/>
      </w:pPr>
    </w:lvl>
    <w:lvl w:ilvl="7" w:tentative="1">
      <w:start w:val="1"/>
      <w:numFmt w:val="decimal"/>
      <w:lvlText w:val="%8."/>
      <w:lvlJc w:val="left"/>
      <w:pPr>
        <w:tabs>
          <w:tab w:val="num" w:pos="4773"/>
        </w:tabs>
        <w:ind w:left="4773" w:hanging="360"/>
      </w:pPr>
    </w:lvl>
    <w:lvl w:ilvl="8" w:tentative="1">
      <w:start w:val="1"/>
      <w:numFmt w:val="decimal"/>
      <w:lvlText w:val="%9."/>
      <w:lvlJc w:val="left"/>
      <w:pPr>
        <w:tabs>
          <w:tab w:val="num" w:pos="5493"/>
        </w:tabs>
        <w:ind w:left="5493" w:hanging="360"/>
      </w:pPr>
    </w:lvl>
  </w:abstractNum>
  <w:abstractNum w:abstractNumId="3" w15:restartNumberingAfterBreak="0">
    <w:nsid w:val="6E910D0A"/>
    <w:multiLevelType w:val="multilevel"/>
    <w:tmpl w:val="894E154C"/>
    <w:lvl w:ilvl="0">
      <w:start w:val="1"/>
      <w:numFmt w:val="decimal"/>
      <w:lvlText w:val="%1."/>
      <w:lvlJc w:val="left"/>
      <w:pPr>
        <w:tabs>
          <w:tab w:val="num" w:pos="-267"/>
        </w:tabs>
        <w:ind w:left="-267" w:hanging="360"/>
      </w:pPr>
    </w:lvl>
    <w:lvl w:ilvl="1">
      <w:start w:val="1"/>
      <w:numFmt w:val="bullet"/>
      <w:lvlText w:val=""/>
      <w:lvlJc w:val="left"/>
      <w:pPr>
        <w:ind w:left="453" w:hanging="360"/>
      </w:pPr>
      <w:rPr>
        <w:rFonts w:ascii="Symbol" w:hAnsi="Symbol" w:hint="default"/>
      </w:rPr>
    </w:lvl>
    <w:lvl w:ilvl="2">
      <w:start w:val="1"/>
      <w:numFmt w:val="lowerLetter"/>
      <w:lvlText w:val="%3."/>
      <w:lvlJc w:val="left"/>
      <w:pPr>
        <w:ind w:left="1173" w:hanging="360"/>
      </w:pPr>
    </w:lvl>
    <w:lvl w:ilvl="3">
      <w:start w:val="1"/>
      <w:numFmt w:val="decimal"/>
      <w:lvlText w:val="%4."/>
      <w:lvlJc w:val="left"/>
      <w:pPr>
        <w:ind w:left="1893" w:hanging="360"/>
      </w:pPr>
    </w:lvl>
    <w:lvl w:ilvl="4" w:tentative="1">
      <w:start w:val="1"/>
      <w:numFmt w:val="decimal"/>
      <w:lvlText w:val="%5."/>
      <w:lvlJc w:val="left"/>
      <w:pPr>
        <w:tabs>
          <w:tab w:val="num" w:pos="2613"/>
        </w:tabs>
        <w:ind w:left="2613" w:hanging="360"/>
      </w:pPr>
    </w:lvl>
    <w:lvl w:ilvl="5" w:tentative="1">
      <w:start w:val="1"/>
      <w:numFmt w:val="decimal"/>
      <w:lvlText w:val="%6."/>
      <w:lvlJc w:val="left"/>
      <w:pPr>
        <w:tabs>
          <w:tab w:val="num" w:pos="3333"/>
        </w:tabs>
        <w:ind w:left="3333" w:hanging="360"/>
      </w:pPr>
    </w:lvl>
    <w:lvl w:ilvl="6" w:tentative="1">
      <w:start w:val="1"/>
      <w:numFmt w:val="decimal"/>
      <w:lvlText w:val="%7."/>
      <w:lvlJc w:val="left"/>
      <w:pPr>
        <w:tabs>
          <w:tab w:val="num" w:pos="4053"/>
        </w:tabs>
        <w:ind w:left="4053" w:hanging="360"/>
      </w:pPr>
    </w:lvl>
    <w:lvl w:ilvl="7" w:tentative="1">
      <w:start w:val="1"/>
      <w:numFmt w:val="decimal"/>
      <w:lvlText w:val="%8."/>
      <w:lvlJc w:val="left"/>
      <w:pPr>
        <w:tabs>
          <w:tab w:val="num" w:pos="4773"/>
        </w:tabs>
        <w:ind w:left="4773" w:hanging="360"/>
      </w:pPr>
    </w:lvl>
    <w:lvl w:ilvl="8" w:tentative="1">
      <w:start w:val="1"/>
      <w:numFmt w:val="decimal"/>
      <w:lvlText w:val="%9."/>
      <w:lvlJc w:val="left"/>
      <w:pPr>
        <w:tabs>
          <w:tab w:val="num" w:pos="5493"/>
        </w:tabs>
        <w:ind w:left="5493" w:hanging="360"/>
      </w:pPr>
    </w:lvl>
  </w:abstractNum>
  <w:abstractNum w:abstractNumId="4" w15:restartNumberingAfterBreak="0">
    <w:nsid w:val="76323A57"/>
    <w:multiLevelType w:val="multilevel"/>
    <w:tmpl w:val="E96C525A"/>
    <w:lvl w:ilvl="0">
      <w:start w:val="1"/>
      <w:numFmt w:val="decimal"/>
      <w:lvlText w:val="%1."/>
      <w:lvlJc w:val="left"/>
      <w:pPr>
        <w:tabs>
          <w:tab w:val="num" w:pos="-267"/>
        </w:tabs>
        <w:ind w:left="-267" w:hanging="360"/>
      </w:pPr>
    </w:lvl>
    <w:lvl w:ilvl="1">
      <w:start w:val="1"/>
      <w:numFmt w:val="decimal"/>
      <w:lvlText w:val="%2."/>
      <w:lvlJc w:val="left"/>
      <w:pPr>
        <w:tabs>
          <w:tab w:val="num" w:pos="453"/>
        </w:tabs>
        <w:ind w:left="453" w:hanging="360"/>
      </w:pPr>
    </w:lvl>
    <w:lvl w:ilvl="2">
      <w:start w:val="1"/>
      <w:numFmt w:val="lowerLetter"/>
      <w:lvlText w:val="%3."/>
      <w:lvlJc w:val="left"/>
      <w:pPr>
        <w:ind w:left="1173" w:hanging="360"/>
      </w:pPr>
    </w:lvl>
    <w:lvl w:ilvl="3">
      <w:start w:val="1"/>
      <w:numFmt w:val="decimal"/>
      <w:lvlText w:val="%4."/>
      <w:lvlJc w:val="left"/>
      <w:pPr>
        <w:ind w:left="1893" w:hanging="360"/>
      </w:pPr>
    </w:lvl>
    <w:lvl w:ilvl="4" w:tentative="1">
      <w:start w:val="1"/>
      <w:numFmt w:val="decimal"/>
      <w:lvlText w:val="%5."/>
      <w:lvlJc w:val="left"/>
      <w:pPr>
        <w:tabs>
          <w:tab w:val="num" w:pos="2613"/>
        </w:tabs>
        <w:ind w:left="2613" w:hanging="360"/>
      </w:pPr>
    </w:lvl>
    <w:lvl w:ilvl="5" w:tentative="1">
      <w:start w:val="1"/>
      <w:numFmt w:val="decimal"/>
      <w:lvlText w:val="%6."/>
      <w:lvlJc w:val="left"/>
      <w:pPr>
        <w:tabs>
          <w:tab w:val="num" w:pos="3333"/>
        </w:tabs>
        <w:ind w:left="3333" w:hanging="360"/>
      </w:pPr>
    </w:lvl>
    <w:lvl w:ilvl="6" w:tentative="1">
      <w:start w:val="1"/>
      <w:numFmt w:val="decimal"/>
      <w:lvlText w:val="%7."/>
      <w:lvlJc w:val="left"/>
      <w:pPr>
        <w:tabs>
          <w:tab w:val="num" w:pos="4053"/>
        </w:tabs>
        <w:ind w:left="4053" w:hanging="360"/>
      </w:pPr>
    </w:lvl>
    <w:lvl w:ilvl="7" w:tentative="1">
      <w:start w:val="1"/>
      <w:numFmt w:val="decimal"/>
      <w:lvlText w:val="%8."/>
      <w:lvlJc w:val="left"/>
      <w:pPr>
        <w:tabs>
          <w:tab w:val="num" w:pos="4773"/>
        </w:tabs>
        <w:ind w:left="4773" w:hanging="360"/>
      </w:pPr>
    </w:lvl>
    <w:lvl w:ilvl="8" w:tentative="1">
      <w:start w:val="1"/>
      <w:numFmt w:val="decimal"/>
      <w:lvlText w:val="%9."/>
      <w:lvlJc w:val="left"/>
      <w:pPr>
        <w:tabs>
          <w:tab w:val="num" w:pos="5493"/>
        </w:tabs>
        <w:ind w:left="5493" w:hanging="360"/>
      </w:pPr>
    </w:lvl>
  </w:abstractNum>
  <w:num w:numId="1" w16cid:durableId="1443181711">
    <w:abstractNumId w:val="2"/>
  </w:num>
  <w:num w:numId="2" w16cid:durableId="1590844648">
    <w:abstractNumId w:val="4"/>
  </w:num>
  <w:num w:numId="3" w16cid:durableId="1480539671">
    <w:abstractNumId w:val="3"/>
  </w:num>
  <w:num w:numId="4" w16cid:durableId="1158349660">
    <w:abstractNumId w:val="0"/>
  </w:num>
  <w:num w:numId="5" w16cid:durableId="9272338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A4B"/>
    <w:rsid w:val="000B1613"/>
    <w:rsid w:val="0015342C"/>
    <w:rsid w:val="00184E64"/>
    <w:rsid w:val="001C4015"/>
    <w:rsid w:val="001F7294"/>
    <w:rsid w:val="002216F6"/>
    <w:rsid w:val="00272F0D"/>
    <w:rsid w:val="00382D22"/>
    <w:rsid w:val="003F2EE0"/>
    <w:rsid w:val="00413A8F"/>
    <w:rsid w:val="00487FC7"/>
    <w:rsid w:val="004E7FD3"/>
    <w:rsid w:val="005035CA"/>
    <w:rsid w:val="00567923"/>
    <w:rsid w:val="00574C8A"/>
    <w:rsid w:val="00592248"/>
    <w:rsid w:val="006F21C6"/>
    <w:rsid w:val="006F6B84"/>
    <w:rsid w:val="00701446"/>
    <w:rsid w:val="00745D2F"/>
    <w:rsid w:val="00746311"/>
    <w:rsid w:val="00752C68"/>
    <w:rsid w:val="00775427"/>
    <w:rsid w:val="007A2A4B"/>
    <w:rsid w:val="0080301F"/>
    <w:rsid w:val="008076F1"/>
    <w:rsid w:val="0081054B"/>
    <w:rsid w:val="008321AF"/>
    <w:rsid w:val="00856A3F"/>
    <w:rsid w:val="00872B2A"/>
    <w:rsid w:val="008B3E87"/>
    <w:rsid w:val="008E466F"/>
    <w:rsid w:val="009B43F2"/>
    <w:rsid w:val="009F3FF3"/>
    <w:rsid w:val="00A239FD"/>
    <w:rsid w:val="00A42081"/>
    <w:rsid w:val="00A43A3A"/>
    <w:rsid w:val="00A52354"/>
    <w:rsid w:val="00AA6AFC"/>
    <w:rsid w:val="00AC0B9E"/>
    <w:rsid w:val="00B9441A"/>
    <w:rsid w:val="00B94AE2"/>
    <w:rsid w:val="00BA101D"/>
    <w:rsid w:val="00C04934"/>
    <w:rsid w:val="00C05507"/>
    <w:rsid w:val="00C43960"/>
    <w:rsid w:val="00C52D31"/>
    <w:rsid w:val="00CA578E"/>
    <w:rsid w:val="00D2140B"/>
    <w:rsid w:val="00D338C0"/>
    <w:rsid w:val="00DE1068"/>
    <w:rsid w:val="00DF1972"/>
    <w:rsid w:val="00E1362F"/>
    <w:rsid w:val="00E3741C"/>
    <w:rsid w:val="00E567B5"/>
    <w:rsid w:val="00E56B8A"/>
    <w:rsid w:val="00E825CC"/>
    <w:rsid w:val="00E9611A"/>
    <w:rsid w:val="00EA3935"/>
    <w:rsid w:val="00EB04A6"/>
    <w:rsid w:val="00EC1745"/>
    <w:rsid w:val="00EF2AE7"/>
    <w:rsid w:val="00FD02D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41523"/>
  <w15:chartTrackingRefBased/>
  <w15:docId w15:val="{485AE3E9-E237-48FB-B21B-90D62F1B8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A2A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A2A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A2A4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unhideWhenUsed/>
    <w:qFormat/>
    <w:rsid w:val="007A2A4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A2A4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A2A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A2A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A2A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A2A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A2A4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A2A4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A2A4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rsid w:val="007A2A4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A2A4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A2A4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A2A4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A2A4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A2A4B"/>
    <w:rPr>
      <w:rFonts w:eastAsiaTheme="majorEastAsia" w:cstheme="majorBidi"/>
      <w:color w:val="272727" w:themeColor="text1" w:themeTint="D8"/>
    </w:rPr>
  </w:style>
  <w:style w:type="paragraph" w:styleId="Ttulo">
    <w:name w:val="Title"/>
    <w:basedOn w:val="Normal"/>
    <w:next w:val="Normal"/>
    <w:link w:val="TtuloCar"/>
    <w:uiPriority w:val="10"/>
    <w:qFormat/>
    <w:rsid w:val="007A2A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A2A4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A2A4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A2A4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A2A4B"/>
    <w:pPr>
      <w:spacing w:before="160"/>
      <w:jc w:val="center"/>
    </w:pPr>
    <w:rPr>
      <w:i/>
      <w:iCs/>
      <w:color w:val="404040" w:themeColor="text1" w:themeTint="BF"/>
    </w:rPr>
  </w:style>
  <w:style w:type="character" w:customStyle="1" w:styleId="CitaCar">
    <w:name w:val="Cita Car"/>
    <w:basedOn w:val="Fuentedeprrafopredeter"/>
    <w:link w:val="Cita"/>
    <w:uiPriority w:val="29"/>
    <w:rsid w:val="007A2A4B"/>
    <w:rPr>
      <w:i/>
      <w:iCs/>
      <w:color w:val="404040" w:themeColor="text1" w:themeTint="BF"/>
    </w:rPr>
  </w:style>
  <w:style w:type="paragraph" w:styleId="Prrafodelista">
    <w:name w:val="List Paragraph"/>
    <w:aliases w:val="CNBV Parrafo1,Párrafo de lista1,Listas,AB List 1,Bullet Points,Bullet List,FooterText,numbered,Paragraphe de liste1,List Paragraph1,Bulletr List Paragraph,Parrafo 1,List Paragraph-Thesis,Dot pt,List Paragraph Char Char Char,Bullet 1,lp1"/>
    <w:basedOn w:val="Normal"/>
    <w:link w:val="PrrafodelistaCar"/>
    <w:uiPriority w:val="34"/>
    <w:qFormat/>
    <w:rsid w:val="007A2A4B"/>
    <w:pPr>
      <w:ind w:left="720"/>
      <w:contextualSpacing/>
    </w:pPr>
  </w:style>
  <w:style w:type="character" w:styleId="nfasisintenso">
    <w:name w:val="Intense Emphasis"/>
    <w:basedOn w:val="Fuentedeprrafopredeter"/>
    <w:uiPriority w:val="21"/>
    <w:qFormat/>
    <w:rsid w:val="007A2A4B"/>
    <w:rPr>
      <w:i/>
      <w:iCs/>
      <w:color w:val="2F5496" w:themeColor="accent1" w:themeShade="BF"/>
    </w:rPr>
  </w:style>
  <w:style w:type="paragraph" w:styleId="Citadestacada">
    <w:name w:val="Intense Quote"/>
    <w:basedOn w:val="Normal"/>
    <w:next w:val="Normal"/>
    <w:link w:val="CitadestacadaCar"/>
    <w:uiPriority w:val="30"/>
    <w:qFormat/>
    <w:rsid w:val="007A2A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A2A4B"/>
    <w:rPr>
      <w:i/>
      <w:iCs/>
      <w:color w:val="2F5496" w:themeColor="accent1" w:themeShade="BF"/>
    </w:rPr>
  </w:style>
  <w:style w:type="character" w:styleId="Referenciaintensa">
    <w:name w:val="Intense Reference"/>
    <w:basedOn w:val="Fuentedeprrafopredeter"/>
    <w:uiPriority w:val="32"/>
    <w:qFormat/>
    <w:rsid w:val="007A2A4B"/>
    <w:rPr>
      <w:b/>
      <w:bCs/>
      <w:smallCaps/>
      <w:color w:val="2F5496" w:themeColor="accent1" w:themeShade="BF"/>
      <w:spacing w:val="5"/>
    </w:rPr>
  </w:style>
  <w:style w:type="character" w:customStyle="1" w:styleId="normaltextrun">
    <w:name w:val="normaltextrun"/>
    <w:basedOn w:val="Fuentedeprrafopredeter"/>
    <w:rsid w:val="007A2A4B"/>
  </w:style>
  <w:style w:type="paragraph" w:styleId="Encabezado">
    <w:name w:val="header"/>
    <w:basedOn w:val="Normal"/>
    <w:link w:val="EncabezadoCar"/>
    <w:uiPriority w:val="99"/>
    <w:unhideWhenUsed/>
    <w:rsid w:val="00DE1068"/>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DE1068"/>
  </w:style>
  <w:style w:type="paragraph" w:styleId="Piedepgina">
    <w:name w:val="footer"/>
    <w:basedOn w:val="Normal"/>
    <w:link w:val="PiedepginaCar"/>
    <w:uiPriority w:val="99"/>
    <w:unhideWhenUsed/>
    <w:rsid w:val="00DE1068"/>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DE1068"/>
  </w:style>
  <w:style w:type="paragraph" w:styleId="TDC2">
    <w:name w:val="toc 2"/>
    <w:basedOn w:val="Normal"/>
    <w:next w:val="Normal"/>
    <w:autoRedefine/>
    <w:uiPriority w:val="39"/>
    <w:unhideWhenUsed/>
    <w:rsid w:val="00DE1068"/>
    <w:pPr>
      <w:spacing w:after="100" w:line="278" w:lineRule="auto"/>
      <w:ind w:left="240"/>
      <w:jc w:val="both"/>
    </w:pPr>
    <w:rPr>
      <w:sz w:val="24"/>
      <w:szCs w:val="24"/>
    </w:rPr>
  </w:style>
  <w:style w:type="paragraph" w:styleId="Textonotapie">
    <w:name w:val="footnote text"/>
    <w:basedOn w:val="Normal"/>
    <w:link w:val="TextonotapieCar"/>
    <w:unhideWhenUsed/>
    <w:rsid w:val="00DE1068"/>
    <w:pPr>
      <w:spacing w:after="0" w:line="240" w:lineRule="auto"/>
    </w:pPr>
    <w:rPr>
      <w:rFonts w:ascii="Arial" w:hAnsi="Arial"/>
      <w:sz w:val="20"/>
      <w:szCs w:val="20"/>
    </w:rPr>
  </w:style>
  <w:style w:type="character" w:customStyle="1" w:styleId="TextonotapieCar">
    <w:name w:val="Texto nota pie Car"/>
    <w:basedOn w:val="Fuentedeprrafopredeter"/>
    <w:link w:val="Textonotapie"/>
    <w:rsid w:val="00DE1068"/>
    <w:rPr>
      <w:rFonts w:ascii="Arial" w:hAnsi="Arial"/>
      <w:sz w:val="20"/>
      <w:szCs w:val="20"/>
    </w:rPr>
  </w:style>
  <w:style w:type="character" w:styleId="Refdenotaalpie">
    <w:name w:val="footnote reference"/>
    <w:basedOn w:val="Fuentedeprrafopredeter"/>
    <w:uiPriority w:val="99"/>
    <w:semiHidden/>
    <w:unhideWhenUsed/>
    <w:rsid w:val="00DE1068"/>
    <w:rPr>
      <w:vertAlign w:val="superscript"/>
    </w:rPr>
  </w:style>
  <w:style w:type="character" w:customStyle="1" w:styleId="PrrafodelistaCar">
    <w:name w:val="Párrafo de lista Car"/>
    <w:aliases w:val="CNBV Parrafo1 Car,Párrafo de lista1 Car,Listas Car,AB List 1 Car,Bullet Points Car,Bullet List Car,FooterText Car,numbered Car,Paragraphe de liste1 Car,List Paragraph1 Car,Bulletr List Paragraph Car,Parrafo 1 Car,Dot pt Car,lp1 Car"/>
    <w:link w:val="Prrafodelista"/>
    <w:uiPriority w:val="34"/>
    <w:qFormat/>
    <w:rsid w:val="00CA5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F9BC7-5FAA-41F8-B4D4-131E793BA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186</Words>
  <Characters>1024</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Ignacio Ortiz</dc:creator>
  <cp:keywords/>
  <dc:description/>
  <cp:lastModifiedBy>Ignacio Ortiz</cp:lastModifiedBy>
  <cp:revision>2</cp:revision>
  <cp:lastPrinted>2025-08-01T16:31:00Z</cp:lastPrinted>
  <dcterms:created xsi:type="dcterms:W3CDTF">2026-10-05T17:16:00Z</dcterms:created>
  <dcterms:modified xsi:type="dcterms:W3CDTF">2026-10-05T17:16:00Z</dcterms:modified>
</cp:coreProperties>
</file>