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771ED7" w14:textId="7C102B25" w:rsidR="001C4015" w:rsidRDefault="002A5592" w:rsidP="00723EE6">
      <w:pPr>
        <w:spacing w:line="276" w:lineRule="auto"/>
        <w:jc w:val="center"/>
        <w:rPr>
          <w:rStyle w:val="normaltextrun"/>
          <w:rFonts w:ascii="Arial" w:hAnsi="Arial" w:cs="Arial"/>
          <w:b/>
          <w:bCs/>
          <w:noProof/>
          <w:sz w:val="28"/>
          <w:szCs w:val="28"/>
        </w:rPr>
      </w:pPr>
      <w:r>
        <w:rPr>
          <w:rStyle w:val="normaltextrun"/>
          <w:rFonts w:ascii="Arial" w:hAnsi="Arial" w:cs="Arial"/>
          <w:b/>
          <w:bCs/>
          <w:noProof/>
          <w:sz w:val="28"/>
          <w:szCs w:val="28"/>
        </w:rPr>
        <w:drawing>
          <wp:anchor distT="0" distB="0" distL="114300" distR="114300" simplePos="0" relativeHeight="251658240" behindDoc="0" locked="0" layoutInCell="1" allowOverlap="1" wp14:anchorId="22243506" wp14:editId="6E2D5092">
            <wp:simplePos x="0" y="0"/>
            <wp:positionH relativeFrom="page">
              <wp:align>right</wp:align>
            </wp:positionH>
            <wp:positionV relativeFrom="paragraph">
              <wp:posOffset>-914400</wp:posOffset>
            </wp:positionV>
            <wp:extent cx="7930342" cy="11213470"/>
            <wp:effectExtent l="0" t="0" r="0" b="6985"/>
            <wp:wrapNone/>
            <wp:docPr id="18614209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30342" cy="11213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A57471" w14:textId="77777777" w:rsidR="00A13E44" w:rsidRDefault="00A13E44" w:rsidP="00723EE6">
      <w:pPr>
        <w:spacing w:line="276" w:lineRule="auto"/>
        <w:jc w:val="center"/>
        <w:rPr>
          <w:rStyle w:val="normaltextrun"/>
          <w:rFonts w:ascii="Arial" w:hAnsi="Arial" w:cs="Arial"/>
          <w:b/>
          <w:bCs/>
          <w:noProof/>
          <w:sz w:val="28"/>
          <w:szCs w:val="28"/>
        </w:rPr>
      </w:pPr>
    </w:p>
    <w:p w14:paraId="5777A65A" w14:textId="77777777" w:rsidR="00A13E44" w:rsidRDefault="00A13E44" w:rsidP="00723EE6">
      <w:pPr>
        <w:spacing w:line="276" w:lineRule="auto"/>
        <w:jc w:val="center"/>
        <w:rPr>
          <w:rStyle w:val="normaltextrun"/>
          <w:rFonts w:ascii="Arial" w:hAnsi="Arial" w:cs="Arial"/>
          <w:b/>
          <w:bCs/>
          <w:noProof/>
          <w:sz w:val="28"/>
          <w:szCs w:val="28"/>
        </w:rPr>
      </w:pPr>
    </w:p>
    <w:p w14:paraId="3B9F2ECB" w14:textId="77777777" w:rsidR="00A13E44" w:rsidRDefault="00A13E44" w:rsidP="00723EE6">
      <w:pPr>
        <w:spacing w:line="276" w:lineRule="auto"/>
        <w:jc w:val="center"/>
        <w:rPr>
          <w:rStyle w:val="normaltextrun"/>
          <w:rFonts w:ascii="Arial" w:hAnsi="Arial" w:cs="Arial"/>
          <w:b/>
          <w:bCs/>
          <w:noProof/>
          <w:sz w:val="28"/>
          <w:szCs w:val="28"/>
        </w:rPr>
      </w:pPr>
    </w:p>
    <w:p w14:paraId="0A55BA56" w14:textId="77777777" w:rsidR="00A13E44" w:rsidRDefault="00A13E44" w:rsidP="00723EE6">
      <w:pPr>
        <w:spacing w:line="276" w:lineRule="auto"/>
        <w:jc w:val="center"/>
        <w:rPr>
          <w:rStyle w:val="normaltextrun"/>
          <w:rFonts w:ascii="Arial" w:hAnsi="Arial" w:cs="Arial"/>
          <w:b/>
          <w:bCs/>
          <w:noProof/>
          <w:sz w:val="28"/>
          <w:szCs w:val="28"/>
        </w:rPr>
      </w:pPr>
    </w:p>
    <w:p w14:paraId="6CA3D4A9" w14:textId="77777777" w:rsidR="00A13E44" w:rsidRDefault="00A13E44" w:rsidP="00723EE6">
      <w:pPr>
        <w:spacing w:line="276" w:lineRule="auto"/>
        <w:jc w:val="center"/>
        <w:rPr>
          <w:rStyle w:val="normaltextrun"/>
          <w:rFonts w:ascii="Arial" w:hAnsi="Arial" w:cs="Arial"/>
          <w:b/>
          <w:bCs/>
          <w:noProof/>
          <w:sz w:val="28"/>
          <w:szCs w:val="28"/>
        </w:rPr>
      </w:pPr>
    </w:p>
    <w:p w14:paraId="13200A93" w14:textId="77777777" w:rsidR="00A13E44" w:rsidRDefault="00A13E44" w:rsidP="00723EE6">
      <w:pPr>
        <w:spacing w:line="276" w:lineRule="auto"/>
        <w:jc w:val="center"/>
        <w:rPr>
          <w:rStyle w:val="normaltextrun"/>
          <w:rFonts w:ascii="Arial" w:hAnsi="Arial" w:cs="Arial"/>
          <w:b/>
          <w:bCs/>
          <w:noProof/>
          <w:sz w:val="28"/>
          <w:szCs w:val="28"/>
        </w:rPr>
      </w:pPr>
    </w:p>
    <w:p w14:paraId="3EAD2406" w14:textId="77777777" w:rsidR="00A13E44" w:rsidRDefault="00A13E44" w:rsidP="00723EE6">
      <w:pPr>
        <w:spacing w:line="276" w:lineRule="auto"/>
        <w:jc w:val="center"/>
        <w:rPr>
          <w:rStyle w:val="normaltextrun"/>
          <w:rFonts w:ascii="Arial" w:hAnsi="Arial" w:cs="Arial"/>
          <w:b/>
          <w:bCs/>
          <w:noProof/>
          <w:sz w:val="28"/>
          <w:szCs w:val="28"/>
        </w:rPr>
      </w:pPr>
    </w:p>
    <w:p w14:paraId="5FCC6D15" w14:textId="77777777" w:rsidR="00A13E44" w:rsidRDefault="00A13E44" w:rsidP="00723EE6">
      <w:pPr>
        <w:spacing w:line="276" w:lineRule="auto"/>
        <w:jc w:val="center"/>
        <w:rPr>
          <w:rStyle w:val="normaltextrun"/>
          <w:rFonts w:ascii="Arial" w:hAnsi="Arial" w:cs="Arial"/>
          <w:b/>
          <w:bCs/>
          <w:noProof/>
          <w:sz w:val="28"/>
          <w:szCs w:val="28"/>
        </w:rPr>
      </w:pPr>
    </w:p>
    <w:p w14:paraId="46CBA4E1" w14:textId="77777777" w:rsidR="00A13E44" w:rsidRDefault="00A13E44" w:rsidP="00723EE6">
      <w:pPr>
        <w:spacing w:line="276" w:lineRule="auto"/>
        <w:jc w:val="center"/>
        <w:rPr>
          <w:rStyle w:val="normaltextrun"/>
          <w:rFonts w:ascii="Arial" w:hAnsi="Arial" w:cs="Arial"/>
          <w:b/>
          <w:bCs/>
          <w:noProof/>
          <w:sz w:val="28"/>
          <w:szCs w:val="28"/>
        </w:rPr>
      </w:pPr>
    </w:p>
    <w:p w14:paraId="2C9FE68E" w14:textId="77777777" w:rsidR="00A13E44" w:rsidRDefault="00A13E44" w:rsidP="00723EE6">
      <w:pPr>
        <w:spacing w:line="276" w:lineRule="auto"/>
        <w:jc w:val="center"/>
        <w:rPr>
          <w:rStyle w:val="normaltextrun"/>
          <w:rFonts w:ascii="Arial" w:hAnsi="Arial" w:cs="Arial"/>
          <w:b/>
          <w:bCs/>
          <w:noProof/>
          <w:sz w:val="28"/>
          <w:szCs w:val="28"/>
        </w:rPr>
      </w:pPr>
    </w:p>
    <w:p w14:paraId="341104D2" w14:textId="77777777" w:rsidR="00A13E44" w:rsidRDefault="00A13E44" w:rsidP="00723EE6">
      <w:pPr>
        <w:spacing w:line="276" w:lineRule="auto"/>
        <w:jc w:val="center"/>
        <w:rPr>
          <w:rStyle w:val="normaltextrun"/>
          <w:rFonts w:ascii="Arial" w:hAnsi="Arial" w:cs="Arial"/>
          <w:b/>
          <w:bCs/>
          <w:noProof/>
          <w:sz w:val="28"/>
          <w:szCs w:val="28"/>
        </w:rPr>
      </w:pPr>
    </w:p>
    <w:p w14:paraId="77CDBE04" w14:textId="77777777" w:rsidR="00A13E44" w:rsidRDefault="00A13E44" w:rsidP="00723EE6">
      <w:pPr>
        <w:spacing w:line="276" w:lineRule="auto"/>
        <w:jc w:val="center"/>
        <w:rPr>
          <w:rStyle w:val="normaltextrun"/>
          <w:rFonts w:ascii="Arial" w:hAnsi="Arial" w:cs="Arial"/>
          <w:b/>
          <w:bCs/>
          <w:noProof/>
          <w:sz w:val="28"/>
          <w:szCs w:val="28"/>
        </w:rPr>
      </w:pPr>
    </w:p>
    <w:p w14:paraId="2AA86CD9" w14:textId="77777777" w:rsidR="00A13E44" w:rsidRDefault="00A13E44" w:rsidP="00723EE6">
      <w:pPr>
        <w:spacing w:line="276" w:lineRule="auto"/>
        <w:jc w:val="center"/>
        <w:rPr>
          <w:rStyle w:val="normaltextrun"/>
          <w:rFonts w:ascii="Arial" w:hAnsi="Arial" w:cs="Arial"/>
          <w:b/>
          <w:bCs/>
          <w:noProof/>
          <w:sz w:val="28"/>
          <w:szCs w:val="28"/>
        </w:rPr>
      </w:pPr>
    </w:p>
    <w:p w14:paraId="1D94CC6E" w14:textId="77777777" w:rsidR="00A13E44" w:rsidRDefault="00A13E44" w:rsidP="00723EE6">
      <w:pPr>
        <w:spacing w:line="276" w:lineRule="auto"/>
        <w:jc w:val="center"/>
        <w:rPr>
          <w:rStyle w:val="normaltextrun"/>
          <w:rFonts w:ascii="Arial" w:hAnsi="Arial" w:cs="Arial"/>
          <w:b/>
          <w:bCs/>
          <w:noProof/>
          <w:sz w:val="28"/>
          <w:szCs w:val="28"/>
        </w:rPr>
      </w:pPr>
    </w:p>
    <w:p w14:paraId="14BF9B3B" w14:textId="77777777" w:rsidR="00A13E44" w:rsidRDefault="00A13E44" w:rsidP="00723EE6">
      <w:pPr>
        <w:spacing w:line="276" w:lineRule="auto"/>
        <w:jc w:val="center"/>
        <w:rPr>
          <w:rStyle w:val="normaltextrun"/>
          <w:rFonts w:ascii="Arial" w:hAnsi="Arial" w:cs="Arial"/>
          <w:b/>
          <w:bCs/>
          <w:noProof/>
          <w:sz w:val="28"/>
          <w:szCs w:val="28"/>
        </w:rPr>
      </w:pPr>
    </w:p>
    <w:p w14:paraId="092513E8" w14:textId="77777777" w:rsidR="00A13E44" w:rsidRDefault="00A13E44" w:rsidP="00723EE6">
      <w:pPr>
        <w:spacing w:line="276" w:lineRule="auto"/>
        <w:jc w:val="center"/>
        <w:rPr>
          <w:rStyle w:val="normaltextrun"/>
          <w:rFonts w:ascii="Arial" w:hAnsi="Arial" w:cs="Arial"/>
          <w:b/>
          <w:bCs/>
          <w:noProof/>
          <w:sz w:val="28"/>
          <w:szCs w:val="28"/>
        </w:rPr>
      </w:pPr>
    </w:p>
    <w:p w14:paraId="41FE4119" w14:textId="77777777" w:rsidR="00A13E44" w:rsidRDefault="00A13E44" w:rsidP="00723EE6">
      <w:pPr>
        <w:spacing w:line="276" w:lineRule="auto"/>
        <w:jc w:val="center"/>
        <w:rPr>
          <w:rStyle w:val="normaltextrun"/>
          <w:rFonts w:ascii="Arial" w:hAnsi="Arial" w:cs="Arial"/>
          <w:b/>
          <w:bCs/>
          <w:noProof/>
          <w:sz w:val="28"/>
          <w:szCs w:val="28"/>
        </w:rPr>
      </w:pPr>
    </w:p>
    <w:p w14:paraId="69579395" w14:textId="77777777" w:rsidR="00A13E44" w:rsidRDefault="00A13E44" w:rsidP="00723EE6">
      <w:pPr>
        <w:spacing w:line="276" w:lineRule="auto"/>
        <w:jc w:val="center"/>
        <w:rPr>
          <w:rStyle w:val="normaltextrun"/>
          <w:rFonts w:ascii="Arial" w:hAnsi="Arial" w:cs="Arial"/>
          <w:b/>
          <w:bCs/>
          <w:noProof/>
          <w:sz w:val="28"/>
          <w:szCs w:val="28"/>
        </w:rPr>
      </w:pPr>
    </w:p>
    <w:p w14:paraId="3B21720F" w14:textId="77777777" w:rsidR="00A13E44" w:rsidRDefault="00A13E44" w:rsidP="00723EE6">
      <w:pPr>
        <w:spacing w:line="276" w:lineRule="auto"/>
        <w:jc w:val="center"/>
        <w:rPr>
          <w:rStyle w:val="normaltextrun"/>
          <w:rFonts w:ascii="Arial" w:hAnsi="Arial" w:cs="Arial"/>
          <w:b/>
          <w:bCs/>
          <w:noProof/>
          <w:sz w:val="28"/>
          <w:szCs w:val="28"/>
        </w:rPr>
      </w:pPr>
    </w:p>
    <w:p w14:paraId="576C19F0" w14:textId="77777777" w:rsidR="00A13E44" w:rsidRDefault="00A13E44" w:rsidP="00723EE6">
      <w:pPr>
        <w:spacing w:line="276" w:lineRule="auto"/>
        <w:jc w:val="center"/>
        <w:rPr>
          <w:rStyle w:val="normaltextrun"/>
          <w:rFonts w:ascii="Arial" w:hAnsi="Arial" w:cs="Arial"/>
          <w:b/>
          <w:bCs/>
          <w:noProof/>
          <w:sz w:val="28"/>
          <w:szCs w:val="28"/>
        </w:rPr>
      </w:pPr>
    </w:p>
    <w:p w14:paraId="5394B2AE" w14:textId="77777777" w:rsidR="00A13E44" w:rsidRDefault="00A13E44" w:rsidP="00723EE6">
      <w:pPr>
        <w:spacing w:line="276" w:lineRule="auto"/>
        <w:jc w:val="center"/>
        <w:rPr>
          <w:rStyle w:val="normaltextrun"/>
          <w:rFonts w:ascii="Arial" w:hAnsi="Arial" w:cs="Arial"/>
          <w:b/>
          <w:bCs/>
          <w:noProof/>
          <w:sz w:val="28"/>
          <w:szCs w:val="28"/>
        </w:rPr>
      </w:pPr>
    </w:p>
    <w:p w14:paraId="769B8798" w14:textId="77777777" w:rsidR="00A13E44" w:rsidRDefault="00A13E44" w:rsidP="00723EE6">
      <w:pPr>
        <w:spacing w:line="276" w:lineRule="auto"/>
        <w:jc w:val="center"/>
        <w:rPr>
          <w:rStyle w:val="normaltextrun"/>
          <w:rFonts w:ascii="Arial" w:hAnsi="Arial" w:cs="Arial"/>
          <w:b/>
          <w:bCs/>
          <w:noProof/>
          <w:sz w:val="28"/>
          <w:szCs w:val="28"/>
        </w:rPr>
      </w:pPr>
    </w:p>
    <w:p w14:paraId="73B5FC3C" w14:textId="77777777" w:rsidR="00A13E44" w:rsidRDefault="00A13E44" w:rsidP="00723EE6">
      <w:pPr>
        <w:spacing w:line="276" w:lineRule="auto"/>
        <w:jc w:val="center"/>
        <w:rPr>
          <w:rStyle w:val="normaltextrun"/>
          <w:rFonts w:ascii="Arial" w:hAnsi="Arial" w:cs="Arial"/>
          <w:b/>
          <w:bCs/>
          <w:noProof/>
          <w:sz w:val="28"/>
          <w:szCs w:val="28"/>
        </w:rPr>
      </w:pPr>
    </w:p>
    <w:p w14:paraId="6E3CD8B7" w14:textId="77777777" w:rsidR="00A13E44" w:rsidRDefault="00A13E44" w:rsidP="00723EE6">
      <w:pPr>
        <w:spacing w:line="276" w:lineRule="auto"/>
        <w:jc w:val="center"/>
        <w:rPr>
          <w:rStyle w:val="normaltextrun"/>
          <w:rFonts w:ascii="Arial" w:hAnsi="Arial" w:cs="Arial"/>
          <w:b/>
          <w:bCs/>
          <w:sz w:val="28"/>
          <w:szCs w:val="28"/>
        </w:rPr>
      </w:pPr>
    </w:p>
    <w:p w14:paraId="632A4EAF" w14:textId="1A5117BD" w:rsidR="00880EBF" w:rsidRPr="00726EEB" w:rsidRDefault="00880EBF" w:rsidP="00587877">
      <w:pPr>
        <w:spacing w:after="120"/>
        <w:jc w:val="center"/>
        <w:rPr>
          <w:rFonts w:ascii="Roboto" w:hAnsi="Roboto" w:cs="Arial"/>
          <w:b/>
          <w:bCs/>
          <w:color w:val="373F56"/>
          <w:sz w:val="36"/>
          <w:szCs w:val="36"/>
        </w:rPr>
      </w:pPr>
      <w:r w:rsidRPr="00726EEB">
        <w:rPr>
          <w:rStyle w:val="normaltextrun"/>
          <w:rFonts w:ascii="Roboto" w:hAnsi="Roboto" w:cs="Arial"/>
          <w:b/>
          <w:bCs/>
          <w:color w:val="373F56"/>
          <w:sz w:val="36"/>
          <w:szCs w:val="36"/>
        </w:rPr>
        <w:lastRenderedPageBreak/>
        <w:t>“</w:t>
      </w:r>
      <w:r w:rsidRPr="00726EEB">
        <w:rPr>
          <w:rFonts w:ascii="Roboto" w:hAnsi="Roboto" w:cs="Arial"/>
          <w:b/>
          <w:bCs/>
          <w:color w:val="373F56"/>
          <w:sz w:val="36"/>
          <w:szCs w:val="36"/>
        </w:rPr>
        <w:t>Fortalece tu competencia”</w:t>
      </w:r>
    </w:p>
    <w:p w14:paraId="663763CB" w14:textId="2A203B21" w:rsidR="0045777A" w:rsidRDefault="004738C5" w:rsidP="004738C5">
      <w:pPr>
        <w:shd w:val="clear" w:color="auto" w:fill="FFFFFF"/>
        <w:spacing w:after="120"/>
        <w:jc w:val="both"/>
        <w:rPr>
          <w:rFonts w:ascii="Roboto" w:hAnsi="Roboto" w:cs="Arial"/>
          <w:color w:val="373F56"/>
          <w:sz w:val="28"/>
          <w:szCs w:val="28"/>
        </w:rPr>
      </w:pPr>
      <w:r w:rsidRPr="004738C5">
        <w:rPr>
          <w:rFonts w:ascii="Roboto" w:hAnsi="Roboto" w:cs="Arial"/>
          <w:color w:val="373F56"/>
          <w:sz w:val="28"/>
          <w:szCs w:val="28"/>
        </w:rPr>
        <w:t>¡Es hora de poner a prueba lo aprendido! El siguiente paso consiste en llevar estos conocimientos al ámbito de tu función para aplicar la normativa contenida en la LGRA que rige el actuar del Servicio en el INE, en un escenario de incumplimiento. Analiza el siguiente escenario, responde los planteamientos, intercambia tus respuestas con un colega de tu misma área y registra tus conclusiones.</w:t>
      </w:r>
    </w:p>
    <w:p w14:paraId="4B5E3024" w14:textId="77777777" w:rsidR="004738C5" w:rsidRDefault="004738C5" w:rsidP="004738C5">
      <w:pPr>
        <w:shd w:val="clear" w:color="auto" w:fill="FFFFFF"/>
        <w:spacing w:after="120"/>
        <w:jc w:val="both"/>
        <w:rPr>
          <w:rFonts w:ascii="Roboto" w:hAnsi="Roboto" w:cs="Arial"/>
          <w:color w:val="373F56"/>
          <w:sz w:val="28"/>
          <w:szCs w:val="28"/>
        </w:rPr>
      </w:pPr>
    </w:p>
    <w:p w14:paraId="719A51FD" w14:textId="77777777" w:rsidR="004738C5" w:rsidRPr="004738C5" w:rsidRDefault="004738C5" w:rsidP="004738C5">
      <w:pPr>
        <w:shd w:val="clear" w:color="auto" w:fill="FFFFFF"/>
        <w:spacing w:after="120"/>
        <w:jc w:val="both"/>
        <w:rPr>
          <w:rFonts w:ascii="Roboto" w:hAnsi="Roboto" w:cs="Arial"/>
          <w:b/>
          <w:bCs/>
          <w:color w:val="373F56"/>
          <w:sz w:val="28"/>
          <w:szCs w:val="28"/>
        </w:rPr>
      </w:pPr>
      <w:r w:rsidRPr="004738C5">
        <w:rPr>
          <w:rFonts w:ascii="Roboto" w:hAnsi="Roboto" w:cs="Arial"/>
          <w:b/>
          <w:bCs/>
          <w:color w:val="373F56"/>
          <w:sz w:val="28"/>
          <w:szCs w:val="28"/>
        </w:rPr>
        <w:t>Escenario</w:t>
      </w:r>
    </w:p>
    <w:p w14:paraId="48484BA6" w14:textId="77777777" w:rsidR="004738C5" w:rsidRPr="004738C5" w:rsidRDefault="004738C5" w:rsidP="004738C5">
      <w:pPr>
        <w:shd w:val="clear" w:color="auto" w:fill="FFFFFF"/>
        <w:spacing w:after="120"/>
        <w:jc w:val="both"/>
        <w:rPr>
          <w:rFonts w:ascii="Roboto" w:hAnsi="Roboto" w:cs="Arial"/>
          <w:color w:val="373F56"/>
          <w:sz w:val="28"/>
          <w:szCs w:val="28"/>
        </w:rPr>
      </w:pPr>
      <w:r w:rsidRPr="004738C5">
        <w:rPr>
          <w:rFonts w:ascii="Roboto" w:hAnsi="Roboto" w:cs="Arial"/>
          <w:color w:val="373F56"/>
          <w:sz w:val="28"/>
          <w:szCs w:val="28"/>
        </w:rPr>
        <w:t>Durante una jornada electoral federal, se detecta un rumor generalizado de que la tinta indeleble utilizada en las casillas no es permanente, lo que genera preocupación y desconfianza entre la ciudadanía y los representantes de partidos políticos. Esta situación se agrava por la difusión de videos en redes sociales que, aunque no verificados, muestran supuestas pruebas de la remoción de la tinta. La Junta Distrital recibe reportes fragmentados y contradictorios, amplificándose la desinformación.</w:t>
      </w:r>
    </w:p>
    <w:p w14:paraId="2B5A0B33" w14:textId="188AF8FF" w:rsidR="004738C5" w:rsidRDefault="004738C5" w:rsidP="004738C5">
      <w:pPr>
        <w:shd w:val="clear" w:color="auto" w:fill="FFFFFF"/>
        <w:spacing w:after="120"/>
        <w:jc w:val="both"/>
        <w:rPr>
          <w:rFonts w:ascii="Roboto" w:hAnsi="Roboto" w:cs="Arial"/>
          <w:color w:val="373F56"/>
          <w:sz w:val="28"/>
          <w:szCs w:val="28"/>
        </w:rPr>
      </w:pPr>
      <w:r w:rsidRPr="004738C5">
        <w:rPr>
          <w:rFonts w:ascii="Roboto" w:hAnsi="Roboto" w:cs="Arial"/>
          <w:color w:val="373F56"/>
          <w:sz w:val="28"/>
          <w:szCs w:val="28"/>
        </w:rPr>
        <w:t>En tu función, como parte del personal del Servicio con responsabilidades de supervisión y comunicación, es consciente de la presión para actuar rápidamente y la urgente necesidad de coordinación y comunicación en crisis, especialmente porque no existe un protocolo claro para este tipo de desinformación, y las comunicaciones iniciales son inconsistentes. La autoridad electoral debe responder eficazmente para preservar la legitimidad del proceso y evitar el incumplimiento normativo o la desconfianza ciudadana.</w:t>
      </w:r>
    </w:p>
    <w:p w14:paraId="663A213E" w14:textId="77777777" w:rsidR="004738C5" w:rsidRDefault="004738C5" w:rsidP="004738C5">
      <w:pPr>
        <w:shd w:val="clear" w:color="auto" w:fill="FFFFFF"/>
        <w:spacing w:after="120"/>
        <w:jc w:val="both"/>
        <w:rPr>
          <w:rFonts w:ascii="Roboto" w:hAnsi="Roboto" w:cs="Arial"/>
          <w:color w:val="373F56"/>
          <w:sz w:val="28"/>
          <w:szCs w:val="28"/>
        </w:rPr>
      </w:pPr>
    </w:p>
    <w:tbl>
      <w:tblPr>
        <w:tblStyle w:val="Tablaconcuadrcula"/>
        <w:tblW w:w="5000" w:type="pct"/>
        <w:tblLook w:val="04A0" w:firstRow="1" w:lastRow="0" w:firstColumn="1" w:lastColumn="0" w:noHBand="0" w:noVBand="1"/>
      </w:tblPr>
      <w:tblGrid>
        <w:gridCol w:w="4675"/>
        <w:gridCol w:w="4675"/>
      </w:tblGrid>
      <w:tr w:rsidR="004738C5" w:rsidRPr="00645D07" w14:paraId="08EF0CD3" w14:textId="77777777" w:rsidTr="00AD640A">
        <w:tc>
          <w:tcPr>
            <w:tcW w:w="2500" w:type="pct"/>
          </w:tcPr>
          <w:p w14:paraId="6C8D74B1" w14:textId="77777777" w:rsidR="004738C5" w:rsidRPr="004738C5" w:rsidRDefault="004738C5" w:rsidP="00AD640A">
            <w:pPr>
              <w:pStyle w:val="NormalWeb"/>
              <w:spacing w:after="120" w:line="276" w:lineRule="auto"/>
              <w:jc w:val="center"/>
              <w:rPr>
                <w:rFonts w:ascii="Roboto" w:hAnsi="Roboto" w:cs="Arial"/>
                <w:b/>
                <w:bCs/>
                <w:color w:val="373F56"/>
                <w:sz w:val="28"/>
                <w:szCs w:val="28"/>
              </w:rPr>
            </w:pPr>
            <w:r w:rsidRPr="004738C5">
              <w:rPr>
                <w:rFonts w:ascii="Roboto" w:hAnsi="Roboto" w:cs="Arial"/>
                <w:b/>
                <w:bCs/>
                <w:color w:val="373F56"/>
                <w:sz w:val="28"/>
                <w:szCs w:val="28"/>
              </w:rPr>
              <w:t>Cuestionamiento</w:t>
            </w:r>
          </w:p>
        </w:tc>
        <w:tc>
          <w:tcPr>
            <w:tcW w:w="2500" w:type="pct"/>
          </w:tcPr>
          <w:p w14:paraId="09C29587" w14:textId="77777777" w:rsidR="004738C5" w:rsidRPr="004738C5" w:rsidRDefault="004738C5" w:rsidP="00AD640A">
            <w:pPr>
              <w:pStyle w:val="NormalWeb"/>
              <w:spacing w:after="120" w:line="276" w:lineRule="auto"/>
              <w:jc w:val="center"/>
              <w:rPr>
                <w:rFonts w:ascii="Roboto" w:hAnsi="Roboto" w:cs="Arial"/>
                <w:b/>
                <w:bCs/>
                <w:color w:val="373F56"/>
                <w:sz w:val="28"/>
                <w:szCs w:val="28"/>
              </w:rPr>
            </w:pPr>
            <w:r w:rsidRPr="004738C5">
              <w:rPr>
                <w:rFonts w:ascii="Roboto" w:hAnsi="Roboto" w:cs="Arial"/>
                <w:b/>
                <w:bCs/>
                <w:color w:val="373F56"/>
                <w:sz w:val="28"/>
                <w:szCs w:val="28"/>
              </w:rPr>
              <w:t>Respuesta</w:t>
            </w:r>
          </w:p>
        </w:tc>
      </w:tr>
      <w:tr w:rsidR="004738C5" w:rsidRPr="00645D07" w14:paraId="56DC29E6" w14:textId="77777777" w:rsidTr="00AD640A">
        <w:tc>
          <w:tcPr>
            <w:tcW w:w="2500" w:type="pct"/>
          </w:tcPr>
          <w:p w14:paraId="55CBB7A5" w14:textId="77777777" w:rsidR="004738C5" w:rsidRPr="004738C5" w:rsidRDefault="004738C5" w:rsidP="00AD640A">
            <w:pPr>
              <w:pStyle w:val="NormalWeb"/>
              <w:spacing w:after="120" w:line="276" w:lineRule="auto"/>
              <w:rPr>
                <w:rFonts w:ascii="Roboto" w:hAnsi="Roboto" w:cs="Arial"/>
                <w:color w:val="373F56"/>
                <w:sz w:val="28"/>
                <w:szCs w:val="28"/>
              </w:rPr>
            </w:pPr>
            <w:r w:rsidRPr="004738C5">
              <w:rPr>
                <w:rFonts w:ascii="Roboto" w:hAnsi="Roboto" w:cs="Arial"/>
                <w:color w:val="373F56"/>
                <w:sz w:val="28"/>
                <w:szCs w:val="28"/>
              </w:rPr>
              <w:t xml:space="preserve">1. Considerando el marco de la Ley General de Responsabilidades Administrativas (LGRA) y el Código de Ética de la Función Pública Electoral del INE, ¿qué principios de actuación (como la legalidad, imparcialidad, profesionalismo, honradez, rendición de cuentas o </w:t>
            </w:r>
            <w:r w:rsidRPr="004738C5">
              <w:rPr>
                <w:rFonts w:ascii="Roboto" w:hAnsi="Roboto" w:cs="Arial"/>
                <w:color w:val="373F56"/>
                <w:sz w:val="28"/>
                <w:szCs w:val="28"/>
              </w:rPr>
              <w:lastRenderedPageBreak/>
              <w:t>máxima publicidad) crees que serían más desafiantes de mantener para el personal del Servicio bajo esta situación de alta presión y desinformación? Justifica tu respuesta con ejemplos específicos de cómo una acción u omisión en esta situación podría constituir una falta administrativa no grave (por ejemplo, incumplir funciones o no denunciar irregularidades) o grave (por ejemplo, utilización indebida de información o encubrimiento).</w:t>
            </w:r>
          </w:p>
        </w:tc>
        <w:tc>
          <w:tcPr>
            <w:tcW w:w="2500" w:type="pct"/>
          </w:tcPr>
          <w:p w14:paraId="0351093D" w14:textId="77777777" w:rsidR="004738C5" w:rsidRPr="004738C5" w:rsidRDefault="004738C5" w:rsidP="00AD640A">
            <w:pPr>
              <w:pStyle w:val="NormalWeb"/>
              <w:spacing w:after="120" w:line="276" w:lineRule="auto"/>
              <w:rPr>
                <w:rFonts w:ascii="Roboto" w:hAnsi="Roboto" w:cs="Arial"/>
                <w:color w:val="373F56"/>
                <w:sz w:val="28"/>
                <w:szCs w:val="28"/>
              </w:rPr>
            </w:pPr>
          </w:p>
        </w:tc>
      </w:tr>
      <w:tr w:rsidR="004738C5" w:rsidRPr="00645D07" w14:paraId="08680EF9" w14:textId="77777777" w:rsidTr="00AD640A">
        <w:tc>
          <w:tcPr>
            <w:tcW w:w="2500" w:type="pct"/>
          </w:tcPr>
          <w:p w14:paraId="574033FF" w14:textId="77777777" w:rsidR="004738C5" w:rsidRPr="004738C5" w:rsidRDefault="004738C5" w:rsidP="00AD640A">
            <w:pPr>
              <w:spacing w:after="120" w:line="276" w:lineRule="auto"/>
              <w:jc w:val="both"/>
              <w:rPr>
                <w:rFonts w:ascii="Roboto" w:hAnsi="Roboto" w:cs="Arial"/>
                <w:color w:val="373F56"/>
                <w:sz w:val="28"/>
                <w:szCs w:val="28"/>
              </w:rPr>
            </w:pPr>
            <w:r w:rsidRPr="004738C5">
              <w:rPr>
                <w:rFonts w:ascii="Roboto" w:hAnsi="Roboto" w:cs="Arial"/>
                <w:color w:val="373F56"/>
                <w:sz w:val="28"/>
                <w:szCs w:val="28"/>
              </w:rPr>
              <w:t>2. Si, como resultado de una respuesta tardía, improvisada o inadecuada a este rumor, se detectara que personal bajo tu supervisión incurrió en una falta administrativa grave (por ejemplo, al intentar ocultar la magnitud del rumor o al abusar de sus funciones para tomar decisiones no autorizadas), ¿cómo crees que esto impactaría la confianza ciudadana en el INE y la legitimidad del proceso electoral en general? Menciona los riesgos jurídicos y administrativos que implicaría una decisión sin sustento normativo o sin la documentación adecuada.</w:t>
            </w:r>
          </w:p>
        </w:tc>
        <w:tc>
          <w:tcPr>
            <w:tcW w:w="2500" w:type="pct"/>
          </w:tcPr>
          <w:p w14:paraId="5517AD81" w14:textId="77777777" w:rsidR="004738C5" w:rsidRPr="004738C5" w:rsidRDefault="004738C5" w:rsidP="00AD640A">
            <w:pPr>
              <w:pStyle w:val="NormalWeb"/>
              <w:spacing w:after="120" w:line="276" w:lineRule="auto"/>
              <w:rPr>
                <w:rFonts w:ascii="Roboto" w:hAnsi="Roboto" w:cs="Arial"/>
                <w:color w:val="373F56"/>
                <w:sz w:val="28"/>
                <w:szCs w:val="28"/>
              </w:rPr>
            </w:pPr>
          </w:p>
        </w:tc>
      </w:tr>
      <w:tr w:rsidR="004738C5" w:rsidRPr="00645D07" w14:paraId="4F8065C9" w14:textId="77777777" w:rsidTr="00AD640A">
        <w:tc>
          <w:tcPr>
            <w:tcW w:w="2500" w:type="pct"/>
          </w:tcPr>
          <w:p w14:paraId="1B132985" w14:textId="77777777" w:rsidR="004738C5" w:rsidRPr="004738C5" w:rsidRDefault="004738C5" w:rsidP="00AD640A">
            <w:pPr>
              <w:spacing w:after="120" w:line="276" w:lineRule="auto"/>
              <w:jc w:val="both"/>
              <w:rPr>
                <w:rFonts w:ascii="Roboto" w:hAnsi="Roboto" w:cs="Arial"/>
                <w:color w:val="373F56"/>
                <w:sz w:val="28"/>
                <w:szCs w:val="28"/>
              </w:rPr>
            </w:pPr>
            <w:r w:rsidRPr="004738C5">
              <w:rPr>
                <w:rFonts w:ascii="Roboto" w:hAnsi="Roboto" w:cs="Arial"/>
                <w:color w:val="373F56"/>
                <w:sz w:val="28"/>
                <w:szCs w:val="28"/>
              </w:rPr>
              <w:t xml:space="preserve">3. Reflexionando sobre los casos de estudio de sanciones por incumplimiento en el proceso de 2018, donde se identificaron faltas </w:t>
            </w:r>
            <w:r w:rsidRPr="004738C5">
              <w:rPr>
                <w:rFonts w:ascii="Roboto" w:hAnsi="Roboto" w:cs="Arial"/>
                <w:color w:val="373F56"/>
                <w:sz w:val="28"/>
                <w:szCs w:val="28"/>
              </w:rPr>
              <w:lastRenderedPageBreak/>
              <w:t>como la omisión en la declaración patrimonial o el uso indebido de información electoral, ¿qué lecciones clave (por ejemplo, la importancia de la documentación rigurosa, la responsabilidad en la cadena de mando o las consecuencias de la impunidad) podrían aplicarse para garantizar una gestión proactiva y normada en el escenario de la tinta indeleble? ¿Cómo ayudarían estas lecciones a prevenir futuros riesgos jurídicos y administrativos para el personal del Servicio y la institución?</w:t>
            </w:r>
          </w:p>
        </w:tc>
        <w:tc>
          <w:tcPr>
            <w:tcW w:w="2500" w:type="pct"/>
          </w:tcPr>
          <w:p w14:paraId="492C9C99" w14:textId="77777777" w:rsidR="004738C5" w:rsidRPr="004738C5" w:rsidRDefault="004738C5" w:rsidP="00AD640A">
            <w:pPr>
              <w:pStyle w:val="NormalWeb"/>
              <w:spacing w:after="120" w:line="276" w:lineRule="auto"/>
              <w:rPr>
                <w:rFonts w:ascii="Roboto" w:hAnsi="Roboto" w:cs="Arial"/>
                <w:color w:val="373F56"/>
                <w:sz w:val="28"/>
                <w:szCs w:val="28"/>
              </w:rPr>
            </w:pPr>
          </w:p>
        </w:tc>
      </w:tr>
      <w:tr w:rsidR="004738C5" w:rsidRPr="00645D07" w14:paraId="179ED7CF" w14:textId="77777777" w:rsidTr="00AD640A">
        <w:tc>
          <w:tcPr>
            <w:tcW w:w="2500" w:type="pct"/>
          </w:tcPr>
          <w:p w14:paraId="0BCD9F72" w14:textId="77777777" w:rsidR="004738C5" w:rsidRPr="004738C5" w:rsidRDefault="004738C5" w:rsidP="00AD640A">
            <w:pPr>
              <w:spacing w:after="120" w:line="276" w:lineRule="auto"/>
              <w:jc w:val="both"/>
              <w:rPr>
                <w:rFonts w:ascii="Roboto" w:hAnsi="Roboto" w:cs="Arial"/>
                <w:color w:val="373F56"/>
                <w:sz w:val="28"/>
                <w:szCs w:val="28"/>
              </w:rPr>
            </w:pPr>
            <w:r w:rsidRPr="004738C5">
              <w:rPr>
                <w:rFonts w:ascii="Roboto" w:hAnsi="Roboto" w:cs="Arial"/>
                <w:color w:val="373F56"/>
                <w:sz w:val="28"/>
                <w:szCs w:val="28"/>
              </w:rPr>
              <w:t>4. Para fomentar una cultura de la legalidad y asegurar que, incluso en contextos críticos, el personal del Servicio actúe de manera transparente y documentada, ¿qué acciones concretas podrías impulsar tú y tu equipo en su ámbito de responsabilidad? Considera la importancia del liderazgo ético y la rendición de cuentas para salvaguardar la integridad de la función electoral.</w:t>
            </w:r>
          </w:p>
        </w:tc>
        <w:tc>
          <w:tcPr>
            <w:tcW w:w="2500" w:type="pct"/>
          </w:tcPr>
          <w:p w14:paraId="6A6AA091" w14:textId="77777777" w:rsidR="004738C5" w:rsidRPr="004738C5" w:rsidRDefault="004738C5" w:rsidP="00AD640A">
            <w:pPr>
              <w:pStyle w:val="NormalWeb"/>
              <w:spacing w:after="120" w:line="276" w:lineRule="auto"/>
              <w:rPr>
                <w:rFonts w:ascii="Roboto" w:hAnsi="Roboto" w:cs="Arial"/>
                <w:color w:val="373F56"/>
                <w:sz w:val="28"/>
                <w:szCs w:val="28"/>
              </w:rPr>
            </w:pPr>
          </w:p>
        </w:tc>
      </w:tr>
    </w:tbl>
    <w:p w14:paraId="5FBFB486" w14:textId="77777777" w:rsidR="0045777A" w:rsidRDefault="0045777A"/>
    <w:p w14:paraId="2F1837A7" w14:textId="77777777" w:rsidR="00670E39" w:rsidRDefault="00670E39" w:rsidP="0045777A">
      <w:pPr>
        <w:spacing w:line="276" w:lineRule="auto"/>
        <w:rPr>
          <w:rFonts w:ascii="Roboto" w:hAnsi="Roboto" w:cs="Arial"/>
          <w:color w:val="373F56"/>
          <w:sz w:val="28"/>
          <w:szCs w:val="28"/>
        </w:rPr>
      </w:pPr>
    </w:p>
    <w:sectPr w:rsidR="00670E39" w:rsidSect="001C4015">
      <w:headerReference w:type="default" r:id="rId8"/>
      <w:pgSz w:w="12240" w:h="15840"/>
      <w:pgMar w:top="1440"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21834D" w14:textId="77777777" w:rsidR="00830367" w:rsidRDefault="00830367" w:rsidP="00DE1068">
      <w:pPr>
        <w:spacing w:after="0" w:line="240" w:lineRule="auto"/>
      </w:pPr>
      <w:r>
        <w:separator/>
      </w:r>
    </w:p>
  </w:endnote>
  <w:endnote w:type="continuationSeparator" w:id="0">
    <w:p w14:paraId="18C60C73" w14:textId="77777777" w:rsidR="00830367" w:rsidRDefault="00830367" w:rsidP="00DE1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B0604020202020204"/>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9FBC79" w14:textId="77777777" w:rsidR="00830367" w:rsidRDefault="00830367" w:rsidP="00DE1068">
      <w:pPr>
        <w:spacing w:after="0" w:line="240" w:lineRule="auto"/>
      </w:pPr>
      <w:r>
        <w:separator/>
      </w:r>
    </w:p>
  </w:footnote>
  <w:footnote w:type="continuationSeparator" w:id="0">
    <w:p w14:paraId="57814159" w14:textId="77777777" w:rsidR="00830367" w:rsidRDefault="00830367" w:rsidP="00DE10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8B155A" w14:textId="7E3680B6" w:rsidR="00726EEB" w:rsidRDefault="002A5592">
    <w:pPr>
      <w:pStyle w:val="Encabezado"/>
    </w:pPr>
    <w:r>
      <w:rPr>
        <w:noProof/>
      </w:rPr>
      <w:drawing>
        <wp:inline distT="0" distB="0" distL="0" distR="0" wp14:anchorId="0BF4B637" wp14:editId="45FF0544">
          <wp:extent cx="1141730" cy="299085"/>
          <wp:effectExtent l="0" t="0" r="1270" b="5715"/>
          <wp:docPr id="5867870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787057"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1730" cy="299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10D96"/>
    <w:multiLevelType w:val="multilevel"/>
    <w:tmpl w:val="E8FE1C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8036C1"/>
    <w:multiLevelType w:val="multilevel"/>
    <w:tmpl w:val="89CE32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586967"/>
    <w:multiLevelType w:val="multilevel"/>
    <w:tmpl w:val="AEE89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6C20CD"/>
    <w:multiLevelType w:val="hybridMultilevel"/>
    <w:tmpl w:val="0FB28F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8DE74CB"/>
    <w:multiLevelType w:val="hybridMultilevel"/>
    <w:tmpl w:val="B026393C"/>
    <w:lvl w:ilvl="0" w:tplc="34C0FF46">
      <w:start w:val="3"/>
      <w:numFmt w:val="bullet"/>
      <w:lvlText w:val=""/>
      <w:lvlJc w:val="left"/>
      <w:pPr>
        <w:ind w:left="1416" w:hanging="708"/>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5" w15:restartNumberingAfterBreak="0">
    <w:nsid w:val="323F4C80"/>
    <w:multiLevelType w:val="hybridMultilevel"/>
    <w:tmpl w:val="27707B3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5DE4A65"/>
    <w:multiLevelType w:val="multilevel"/>
    <w:tmpl w:val="7CE86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2F6476"/>
    <w:multiLevelType w:val="multilevel"/>
    <w:tmpl w:val="A894D4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5A25CA"/>
    <w:multiLevelType w:val="multilevel"/>
    <w:tmpl w:val="BC6AE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3C2097"/>
    <w:multiLevelType w:val="hybridMultilevel"/>
    <w:tmpl w:val="39DACC0A"/>
    <w:lvl w:ilvl="0" w:tplc="0D42E8A8">
      <w:start w:val="1"/>
      <w:numFmt w:val="decimal"/>
      <w:lvlText w:val="%1."/>
      <w:lvlJc w:val="left"/>
      <w:pPr>
        <w:ind w:left="1068" w:hanging="708"/>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A973CBD"/>
    <w:multiLevelType w:val="multilevel"/>
    <w:tmpl w:val="58CC07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F40FC1"/>
    <w:multiLevelType w:val="hybridMultilevel"/>
    <w:tmpl w:val="2F4E49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DA3325C"/>
    <w:multiLevelType w:val="multilevel"/>
    <w:tmpl w:val="637C1F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15:restartNumberingAfterBreak="0">
    <w:nsid w:val="548835B6"/>
    <w:multiLevelType w:val="multilevel"/>
    <w:tmpl w:val="0EC049C4"/>
    <w:lvl w:ilvl="0">
      <w:start w:val="1"/>
      <w:numFmt w:val="bullet"/>
      <w:lvlText w:val=""/>
      <w:lvlJc w:val="left"/>
      <w:pPr>
        <w:ind w:left="720" w:hanging="360"/>
      </w:pPr>
      <w:rPr>
        <w:rFonts w:ascii="Symbol" w:hAnsi="Symbol" w:hint="default"/>
        <w:color w:val="404040"/>
        <w:sz w:val="24"/>
        <w:szCs w:val="24"/>
        <w:u w:val="none"/>
      </w:rPr>
    </w:lvl>
    <w:lvl w:ilvl="1">
      <w:start w:val="1"/>
      <w:numFmt w:val="bullet"/>
      <w:lvlText w:val="○"/>
      <w:lvlJc w:val="left"/>
      <w:pPr>
        <w:ind w:left="1440" w:hanging="360"/>
      </w:pPr>
      <w:rPr>
        <w:rFonts w:ascii="Roboto" w:eastAsia="Roboto" w:hAnsi="Roboto" w:cs="Roboto"/>
        <w:color w:val="404040"/>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59781D2C"/>
    <w:multiLevelType w:val="multilevel"/>
    <w:tmpl w:val="9CFAB9CE"/>
    <w:lvl w:ilvl="0">
      <w:start w:val="1"/>
      <w:numFmt w:val="decimal"/>
      <w:lvlText w:val="%1."/>
      <w:lvlJc w:val="left"/>
      <w:pPr>
        <w:ind w:left="720" w:hanging="360"/>
      </w:pPr>
      <w:rPr>
        <w:rFonts w:ascii="Roboto" w:eastAsia="Roboto" w:hAnsi="Roboto" w:cs="Roboto"/>
        <w:color w:val="404040"/>
        <w:sz w:val="24"/>
        <w:szCs w:val="24"/>
        <w:u w:val="none"/>
      </w:rPr>
    </w:lvl>
    <w:lvl w:ilvl="1">
      <w:start w:val="1"/>
      <w:numFmt w:val="bullet"/>
      <w:lvlText w:val="○"/>
      <w:lvlJc w:val="left"/>
      <w:pPr>
        <w:ind w:left="1440" w:hanging="360"/>
      </w:pPr>
      <w:rPr>
        <w:rFonts w:ascii="Roboto" w:eastAsia="Roboto" w:hAnsi="Roboto" w:cs="Roboto"/>
        <w:color w:val="404040"/>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5B297D25"/>
    <w:multiLevelType w:val="multilevel"/>
    <w:tmpl w:val="95C8A3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0E91705"/>
    <w:multiLevelType w:val="multilevel"/>
    <w:tmpl w:val="8C341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FF5180"/>
    <w:multiLevelType w:val="multilevel"/>
    <w:tmpl w:val="BF86E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7899748">
    <w:abstractNumId w:val="15"/>
  </w:num>
  <w:num w:numId="2" w16cid:durableId="1390961094">
    <w:abstractNumId w:val="10"/>
  </w:num>
  <w:num w:numId="3" w16cid:durableId="1365980275">
    <w:abstractNumId w:val="6"/>
  </w:num>
  <w:num w:numId="4" w16cid:durableId="1957129642">
    <w:abstractNumId w:val="17"/>
  </w:num>
  <w:num w:numId="5" w16cid:durableId="1998914894">
    <w:abstractNumId w:val="16"/>
  </w:num>
  <w:num w:numId="6" w16cid:durableId="1457137507">
    <w:abstractNumId w:val="8"/>
  </w:num>
  <w:num w:numId="7" w16cid:durableId="1774783239">
    <w:abstractNumId w:val="5"/>
  </w:num>
  <w:num w:numId="8" w16cid:durableId="2014453524">
    <w:abstractNumId w:val="9"/>
  </w:num>
  <w:num w:numId="9" w16cid:durableId="2079478676">
    <w:abstractNumId w:val="3"/>
  </w:num>
  <w:num w:numId="10" w16cid:durableId="1805852507">
    <w:abstractNumId w:val="4"/>
  </w:num>
  <w:num w:numId="11" w16cid:durableId="2080899910">
    <w:abstractNumId w:val="0"/>
  </w:num>
  <w:num w:numId="12" w16cid:durableId="1697538311">
    <w:abstractNumId w:val="7"/>
  </w:num>
  <w:num w:numId="13" w16cid:durableId="1076591059">
    <w:abstractNumId w:val="1"/>
  </w:num>
  <w:num w:numId="14" w16cid:durableId="574903079">
    <w:abstractNumId w:val="2"/>
  </w:num>
  <w:num w:numId="15" w16cid:durableId="1516993223">
    <w:abstractNumId w:val="12"/>
  </w:num>
  <w:num w:numId="16" w16cid:durableId="1418863726">
    <w:abstractNumId w:val="14"/>
  </w:num>
  <w:num w:numId="17" w16cid:durableId="7366087">
    <w:abstractNumId w:val="11"/>
  </w:num>
  <w:num w:numId="18" w16cid:durableId="989748980">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A4B"/>
    <w:rsid w:val="00033C1B"/>
    <w:rsid w:val="00035AA6"/>
    <w:rsid w:val="000B686D"/>
    <w:rsid w:val="000D75CD"/>
    <w:rsid w:val="00103C51"/>
    <w:rsid w:val="0016272B"/>
    <w:rsid w:val="001C4015"/>
    <w:rsid w:val="001C42EE"/>
    <w:rsid w:val="002224D8"/>
    <w:rsid w:val="002226BD"/>
    <w:rsid w:val="00272F0D"/>
    <w:rsid w:val="00296380"/>
    <w:rsid w:val="002A5592"/>
    <w:rsid w:val="002E3390"/>
    <w:rsid w:val="0030696E"/>
    <w:rsid w:val="00341251"/>
    <w:rsid w:val="003F2EE0"/>
    <w:rsid w:val="00413A8F"/>
    <w:rsid w:val="00415AE2"/>
    <w:rsid w:val="00422F50"/>
    <w:rsid w:val="0045777A"/>
    <w:rsid w:val="004738C5"/>
    <w:rsid w:val="004B4BDA"/>
    <w:rsid w:val="004E4B9A"/>
    <w:rsid w:val="005039CC"/>
    <w:rsid w:val="00574C8A"/>
    <w:rsid w:val="00587877"/>
    <w:rsid w:val="00596E37"/>
    <w:rsid w:val="00670E39"/>
    <w:rsid w:val="006728C0"/>
    <w:rsid w:val="00701446"/>
    <w:rsid w:val="00707EE7"/>
    <w:rsid w:val="0071194A"/>
    <w:rsid w:val="00723EE6"/>
    <w:rsid w:val="00726EEB"/>
    <w:rsid w:val="00744AEA"/>
    <w:rsid w:val="00753248"/>
    <w:rsid w:val="00756A74"/>
    <w:rsid w:val="00775427"/>
    <w:rsid w:val="00781A2F"/>
    <w:rsid w:val="007A2A4B"/>
    <w:rsid w:val="007B26EA"/>
    <w:rsid w:val="007E44F9"/>
    <w:rsid w:val="0081054B"/>
    <w:rsid w:val="008144F2"/>
    <w:rsid w:val="00830367"/>
    <w:rsid w:val="00850056"/>
    <w:rsid w:val="00856A3F"/>
    <w:rsid w:val="00872B2A"/>
    <w:rsid w:val="00880EBF"/>
    <w:rsid w:val="008B7D4E"/>
    <w:rsid w:val="008D3B88"/>
    <w:rsid w:val="008E466F"/>
    <w:rsid w:val="0092328E"/>
    <w:rsid w:val="0093088D"/>
    <w:rsid w:val="009E6EBC"/>
    <w:rsid w:val="00A13E44"/>
    <w:rsid w:val="00A31714"/>
    <w:rsid w:val="00A31A46"/>
    <w:rsid w:val="00AB1896"/>
    <w:rsid w:val="00AE2148"/>
    <w:rsid w:val="00B65FFB"/>
    <w:rsid w:val="00B764D5"/>
    <w:rsid w:val="00B8038E"/>
    <w:rsid w:val="00C04934"/>
    <w:rsid w:val="00C4137C"/>
    <w:rsid w:val="00C43960"/>
    <w:rsid w:val="00CF0B8C"/>
    <w:rsid w:val="00D22DDE"/>
    <w:rsid w:val="00D41BBE"/>
    <w:rsid w:val="00D453AB"/>
    <w:rsid w:val="00D95F17"/>
    <w:rsid w:val="00DE1068"/>
    <w:rsid w:val="00E1362F"/>
    <w:rsid w:val="00ED1056"/>
    <w:rsid w:val="00ED18CD"/>
    <w:rsid w:val="00ED6090"/>
    <w:rsid w:val="00EF2AE7"/>
    <w:rsid w:val="00F0170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41523"/>
  <w15:chartTrackingRefBased/>
  <w15:docId w15:val="{485AE3E9-E237-48FB-B21B-90D62F1B8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A2A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A2A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A2A4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unhideWhenUsed/>
    <w:qFormat/>
    <w:rsid w:val="007A2A4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A2A4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A2A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A2A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A2A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A2A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A2A4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A2A4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A2A4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rsid w:val="007A2A4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A2A4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A2A4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A2A4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A2A4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A2A4B"/>
    <w:rPr>
      <w:rFonts w:eastAsiaTheme="majorEastAsia" w:cstheme="majorBidi"/>
      <w:color w:val="272727" w:themeColor="text1" w:themeTint="D8"/>
    </w:rPr>
  </w:style>
  <w:style w:type="paragraph" w:styleId="Ttulo">
    <w:name w:val="Title"/>
    <w:basedOn w:val="Normal"/>
    <w:next w:val="Normal"/>
    <w:link w:val="TtuloCar"/>
    <w:uiPriority w:val="10"/>
    <w:qFormat/>
    <w:rsid w:val="007A2A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A2A4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A2A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A2A4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A2A4B"/>
    <w:pPr>
      <w:spacing w:before="160"/>
      <w:jc w:val="center"/>
    </w:pPr>
    <w:rPr>
      <w:i/>
      <w:iCs/>
      <w:color w:val="404040" w:themeColor="text1" w:themeTint="BF"/>
    </w:rPr>
  </w:style>
  <w:style w:type="character" w:customStyle="1" w:styleId="CitaCar">
    <w:name w:val="Cita Car"/>
    <w:basedOn w:val="Fuentedeprrafopredeter"/>
    <w:link w:val="Cita"/>
    <w:uiPriority w:val="29"/>
    <w:rsid w:val="007A2A4B"/>
    <w:rPr>
      <w:i/>
      <w:iCs/>
      <w:color w:val="404040" w:themeColor="text1" w:themeTint="BF"/>
    </w:rPr>
  </w:style>
  <w:style w:type="paragraph" w:styleId="Prrafodelista">
    <w:name w:val="List Paragraph"/>
    <w:aliases w:val="CNBV Parrafo1,AB List 1,Bullet Points,Bullet List,FooterText,numbered,Paragraphe de liste1,List Paragraph1,Bulletr List Paragraph,Párrafo de lista1,Listas,Bullet 1,Bullet Number,lp1,Scitum normal,列出段落,列出段落1,List Paragraph11,b1,He,Dot pt"/>
    <w:basedOn w:val="Normal"/>
    <w:link w:val="PrrafodelistaCar"/>
    <w:uiPriority w:val="34"/>
    <w:qFormat/>
    <w:rsid w:val="007A2A4B"/>
    <w:pPr>
      <w:ind w:left="720"/>
      <w:contextualSpacing/>
    </w:pPr>
  </w:style>
  <w:style w:type="character" w:styleId="nfasisintenso">
    <w:name w:val="Intense Emphasis"/>
    <w:basedOn w:val="Fuentedeprrafopredeter"/>
    <w:uiPriority w:val="21"/>
    <w:qFormat/>
    <w:rsid w:val="007A2A4B"/>
    <w:rPr>
      <w:i/>
      <w:iCs/>
      <w:color w:val="2F5496" w:themeColor="accent1" w:themeShade="BF"/>
    </w:rPr>
  </w:style>
  <w:style w:type="paragraph" w:styleId="Citadestacada">
    <w:name w:val="Intense Quote"/>
    <w:basedOn w:val="Normal"/>
    <w:next w:val="Normal"/>
    <w:link w:val="CitadestacadaCar"/>
    <w:uiPriority w:val="30"/>
    <w:qFormat/>
    <w:rsid w:val="007A2A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A2A4B"/>
    <w:rPr>
      <w:i/>
      <w:iCs/>
      <w:color w:val="2F5496" w:themeColor="accent1" w:themeShade="BF"/>
    </w:rPr>
  </w:style>
  <w:style w:type="character" w:styleId="Referenciaintensa">
    <w:name w:val="Intense Reference"/>
    <w:basedOn w:val="Fuentedeprrafopredeter"/>
    <w:uiPriority w:val="32"/>
    <w:qFormat/>
    <w:rsid w:val="007A2A4B"/>
    <w:rPr>
      <w:b/>
      <w:bCs/>
      <w:smallCaps/>
      <w:color w:val="2F5496" w:themeColor="accent1" w:themeShade="BF"/>
      <w:spacing w:val="5"/>
    </w:rPr>
  </w:style>
  <w:style w:type="character" w:customStyle="1" w:styleId="normaltextrun">
    <w:name w:val="normaltextrun"/>
    <w:basedOn w:val="Fuentedeprrafopredeter"/>
    <w:rsid w:val="007A2A4B"/>
  </w:style>
  <w:style w:type="paragraph" w:styleId="Encabezado">
    <w:name w:val="header"/>
    <w:basedOn w:val="Normal"/>
    <w:link w:val="EncabezadoCar"/>
    <w:uiPriority w:val="99"/>
    <w:unhideWhenUsed/>
    <w:rsid w:val="00DE1068"/>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DE1068"/>
  </w:style>
  <w:style w:type="paragraph" w:styleId="Piedepgina">
    <w:name w:val="footer"/>
    <w:basedOn w:val="Normal"/>
    <w:link w:val="PiedepginaCar"/>
    <w:uiPriority w:val="99"/>
    <w:unhideWhenUsed/>
    <w:rsid w:val="00DE1068"/>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DE1068"/>
  </w:style>
  <w:style w:type="paragraph" w:styleId="TDC2">
    <w:name w:val="toc 2"/>
    <w:basedOn w:val="Normal"/>
    <w:next w:val="Normal"/>
    <w:autoRedefine/>
    <w:uiPriority w:val="39"/>
    <w:unhideWhenUsed/>
    <w:rsid w:val="00DE1068"/>
    <w:pPr>
      <w:spacing w:after="100" w:line="278" w:lineRule="auto"/>
      <w:ind w:left="240"/>
      <w:jc w:val="both"/>
    </w:pPr>
    <w:rPr>
      <w:sz w:val="24"/>
      <w:szCs w:val="24"/>
    </w:rPr>
  </w:style>
  <w:style w:type="paragraph" w:styleId="Textonotapie">
    <w:name w:val="footnote text"/>
    <w:basedOn w:val="Normal"/>
    <w:link w:val="TextonotapieCar"/>
    <w:uiPriority w:val="99"/>
    <w:unhideWhenUsed/>
    <w:rsid w:val="00DE1068"/>
    <w:pPr>
      <w:spacing w:after="0" w:line="240" w:lineRule="auto"/>
    </w:pPr>
    <w:rPr>
      <w:rFonts w:ascii="Arial" w:hAnsi="Arial"/>
      <w:sz w:val="20"/>
      <w:szCs w:val="20"/>
    </w:rPr>
  </w:style>
  <w:style w:type="character" w:customStyle="1" w:styleId="TextonotapieCar">
    <w:name w:val="Texto nota pie Car"/>
    <w:basedOn w:val="Fuentedeprrafopredeter"/>
    <w:link w:val="Textonotapie"/>
    <w:uiPriority w:val="99"/>
    <w:rsid w:val="00DE1068"/>
    <w:rPr>
      <w:rFonts w:ascii="Arial" w:hAnsi="Arial"/>
      <w:sz w:val="20"/>
      <w:szCs w:val="20"/>
    </w:rPr>
  </w:style>
  <w:style w:type="character" w:styleId="Refdenotaalpie">
    <w:name w:val="footnote reference"/>
    <w:basedOn w:val="Fuentedeprrafopredeter"/>
    <w:uiPriority w:val="99"/>
    <w:semiHidden/>
    <w:unhideWhenUsed/>
    <w:rsid w:val="00DE1068"/>
    <w:rPr>
      <w:vertAlign w:val="superscript"/>
    </w:rPr>
  </w:style>
  <w:style w:type="paragraph" w:styleId="NormalWeb">
    <w:name w:val="Normal (Web)"/>
    <w:basedOn w:val="Normal"/>
    <w:uiPriority w:val="99"/>
    <w:unhideWhenUsed/>
    <w:rsid w:val="00880EBF"/>
    <w:pPr>
      <w:spacing w:line="278" w:lineRule="auto"/>
      <w:jc w:val="both"/>
    </w:pPr>
    <w:rPr>
      <w:rFonts w:ascii="Times New Roman" w:hAnsi="Times New Roman" w:cs="Times New Roman"/>
      <w:sz w:val="24"/>
      <w:szCs w:val="24"/>
    </w:rPr>
  </w:style>
  <w:style w:type="table" w:styleId="Tablaconcuadrcula">
    <w:name w:val="Table Grid"/>
    <w:basedOn w:val="Tablanormal"/>
    <w:uiPriority w:val="39"/>
    <w:rsid w:val="00880EB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707EE7"/>
    <w:rPr>
      <w:b/>
      <w:bCs/>
    </w:rPr>
  </w:style>
  <w:style w:type="table" w:styleId="Tablaconcuadrcula1clara">
    <w:name w:val="Grid Table 1 Light"/>
    <w:basedOn w:val="Tablanormal"/>
    <w:uiPriority w:val="46"/>
    <w:rsid w:val="00707EE7"/>
    <w:pPr>
      <w:spacing w:after="0" w:line="240" w:lineRule="auto"/>
    </w:pPr>
    <w:rPr>
      <w:sz w:val="24"/>
      <w:szCs w:val="24"/>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s-markdown-paragraph">
    <w:name w:val="ds-markdown-paragraph"/>
    <w:basedOn w:val="Normal"/>
    <w:rsid w:val="00707EE7"/>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nfasis">
    <w:name w:val="Emphasis"/>
    <w:basedOn w:val="Fuentedeprrafopredeter"/>
    <w:uiPriority w:val="20"/>
    <w:qFormat/>
    <w:rsid w:val="00707EE7"/>
    <w:rPr>
      <w:i/>
      <w:iCs/>
    </w:rPr>
  </w:style>
  <w:style w:type="character" w:customStyle="1" w:styleId="PrrafodelistaCar">
    <w:name w:val="Párrafo de lista Car"/>
    <w:aliases w:val="CNBV Parrafo1 Car,AB List 1 Car,Bullet Points Car,Bullet List Car,FooterText Car,numbered Car,Paragraphe de liste1 Car,List Paragraph1 Car,Bulletr List Paragraph Car,Párrafo de lista1 Car,Listas Car,Bullet 1 Car,Bullet Number Car"/>
    <w:link w:val="Prrafodelista"/>
    <w:uiPriority w:val="34"/>
    <w:qFormat/>
    <w:rsid w:val="00670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569</Words>
  <Characters>3187</Characters>
  <Application>Microsoft Office Word</Application>
  <DocSecurity>0</DocSecurity>
  <Lines>289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Ignacio Ortiz</dc:creator>
  <cp:keywords/>
  <dc:description/>
  <cp:lastModifiedBy>Direccion</cp:lastModifiedBy>
  <cp:revision>8</cp:revision>
  <cp:lastPrinted>2025-08-01T16:31:00Z</cp:lastPrinted>
  <dcterms:created xsi:type="dcterms:W3CDTF">2026-10-05T13:58:00Z</dcterms:created>
  <dcterms:modified xsi:type="dcterms:W3CDTF">2026-10-10T13:18:00Z</dcterms:modified>
</cp:coreProperties>
</file>