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C771ED7" w14:textId="418FF861" w:rsidR="001C4015" w:rsidRDefault="00F310B9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3C27EC4" wp14:editId="415B2469">
            <wp:simplePos x="0" y="0"/>
            <wp:positionH relativeFrom="column">
              <wp:posOffset>-990600</wp:posOffset>
            </wp:positionH>
            <wp:positionV relativeFrom="paragraph">
              <wp:posOffset>-914400</wp:posOffset>
            </wp:positionV>
            <wp:extent cx="7947660" cy="11248147"/>
            <wp:effectExtent l="0" t="0" r="0" b="0"/>
            <wp:wrapNone/>
            <wp:docPr id="168937914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8350" cy="11263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A5747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77A65A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9F2EC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A55BA5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CA3D4A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3200A93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EAD2406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FCC6D1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6CBA4E1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C9FE68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41104D2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7CDBE04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2AA86CD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D94CC6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14BF9B3B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092513E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41FE4119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9579395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3B21720F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76C19F0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5394B2AE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69B8798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73B5FC3C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noProof/>
          <w:sz w:val="28"/>
          <w:szCs w:val="28"/>
        </w:rPr>
      </w:pPr>
    </w:p>
    <w:p w14:paraId="6E3CD8B7" w14:textId="77777777" w:rsidR="00A13E44" w:rsidRDefault="00A13E44" w:rsidP="00723EE6">
      <w:pPr>
        <w:spacing w:line="276" w:lineRule="auto"/>
        <w:jc w:val="center"/>
        <w:rPr>
          <w:rStyle w:val="normaltextrun"/>
          <w:rFonts w:ascii="Arial" w:hAnsi="Arial" w:cs="Arial"/>
          <w:b/>
          <w:bCs/>
          <w:sz w:val="28"/>
          <w:szCs w:val="28"/>
        </w:rPr>
      </w:pPr>
    </w:p>
    <w:p w14:paraId="7A1CBAA0" w14:textId="452254F6" w:rsidR="00880EBF" w:rsidRPr="00726EEB" w:rsidRDefault="00880EBF" w:rsidP="00880EBF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  <w:r w:rsidRPr="00726EEB">
        <w:rPr>
          <w:rStyle w:val="normaltextrun"/>
          <w:rFonts w:ascii="Roboto" w:hAnsi="Roboto" w:cs="Arial"/>
          <w:b/>
          <w:bCs/>
          <w:color w:val="373F56"/>
          <w:sz w:val="36"/>
          <w:szCs w:val="36"/>
        </w:rPr>
        <w:lastRenderedPageBreak/>
        <w:t>“</w:t>
      </w:r>
      <w:r w:rsidRPr="00726EEB">
        <w:rPr>
          <w:rFonts w:ascii="Roboto" w:hAnsi="Roboto" w:cs="Arial"/>
          <w:b/>
          <w:bCs/>
          <w:color w:val="373F56"/>
          <w:sz w:val="36"/>
          <w:szCs w:val="36"/>
        </w:rPr>
        <w:t>Fortalece tu competencia”</w:t>
      </w:r>
    </w:p>
    <w:p w14:paraId="632A4EAF" w14:textId="77777777" w:rsidR="00880EBF" w:rsidRPr="00726EEB" w:rsidRDefault="00880EBF" w:rsidP="00880EBF">
      <w:pPr>
        <w:spacing w:after="120"/>
        <w:jc w:val="center"/>
        <w:rPr>
          <w:rFonts w:ascii="Roboto" w:hAnsi="Roboto" w:cs="Arial"/>
          <w:b/>
          <w:bCs/>
          <w:color w:val="373F56"/>
          <w:sz w:val="36"/>
          <w:szCs w:val="36"/>
        </w:rPr>
      </w:pPr>
    </w:p>
    <w:p w14:paraId="2BD9A8E6" w14:textId="77777777" w:rsidR="00D47ADB" w:rsidRDefault="00D47ADB" w:rsidP="00FC7B67">
      <w:p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D47ADB">
        <w:rPr>
          <w:rFonts w:ascii="Roboto" w:hAnsi="Roboto" w:cs="Arial"/>
          <w:color w:val="373F56"/>
          <w:sz w:val="28"/>
          <w:szCs w:val="28"/>
        </w:rPr>
        <w:t>Te invito a realizar este ejercicio podrás practicar nuevas habilidades y profundizar en tu aprendizaje sobre priorización de riesgos electorales. Este ejercicio individual te permitirá fortalecer tus habilidades de análisis y prepararte para el foro de cierre, en el que compartirás y discutirás tu propuesta con tus compañeros y compañeras.</w:t>
      </w:r>
    </w:p>
    <w:p w14:paraId="788A05FF" w14:textId="77777777" w:rsidR="00D47ADB" w:rsidRDefault="00D47ADB" w:rsidP="00FC7B67">
      <w:p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</w:p>
    <w:p w14:paraId="709EBB11" w14:textId="20436C23" w:rsidR="00FC7B67" w:rsidRPr="00FC7B67" w:rsidRDefault="00D47ADB" w:rsidP="00FC7B67">
      <w:pPr>
        <w:spacing w:after="120" w:line="276" w:lineRule="auto"/>
        <w:jc w:val="both"/>
        <w:rPr>
          <w:rFonts w:ascii="Roboto" w:hAnsi="Roboto" w:cs="Arial"/>
          <w:b/>
          <w:bCs/>
          <w:color w:val="373F56"/>
          <w:sz w:val="28"/>
          <w:szCs w:val="28"/>
        </w:rPr>
      </w:pPr>
      <w:r>
        <w:rPr>
          <w:rFonts w:ascii="Roboto" w:hAnsi="Roboto" w:cs="Arial"/>
          <w:b/>
          <w:bCs/>
          <w:color w:val="373F56"/>
          <w:sz w:val="28"/>
          <w:szCs w:val="28"/>
        </w:rPr>
        <w:t>Ejercicio práctico</w:t>
      </w:r>
      <w:r w:rsidR="00FC7B67" w:rsidRPr="00FC7B67">
        <w:rPr>
          <w:rFonts w:ascii="Roboto" w:hAnsi="Roboto" w:cs="Arial"/>
          <w:b/>
          <w:bCs/>
          <w:color w:val="373F56"/>
          <w:sz w:val="28"/>
          <w:szCs w:val="28"/>
        </w:rPr>
        <w:t xml:space="preserve">: </w:t>
      </w:r>
      <w:r>
        <w:rPr>
          <w:rFonts w:ascii="Roboto" w:hAnsi="Roboto" w:cs="Arial"/>
          <w:b/>
          <w:bCs/>
          <w:color w:val="373F56"/>
          <w:sz w:val="28"/>
          <w:szCs w:val="28"/>
        </w:rPr>
        <w:t>“P</w:t>
      </w:r>
      <w:r w:rsidR="00FC7B67" w:rsidRPr="00FC7B67">
        <w:rPr>
          <w:rFonts w:ascii="Roboto" w:hAnsi="Roboto" w:cs="Arial"/>
          <w:b/>
          <w:bCs/>
          <w:color w:val="373F56"/>
          <w:sz w:val="28"/>
          <w:szCs w:val="28"/>
        </w:rPr>
        <w:t>riorización de riesgos electorales</w:t>
      </w:r>
      <w:r>
        <w:rPr>
          <w:rFonts w:ascii="Roboto" w:hAnsi="Roboto" w:cs="Arial"/>
          <w:b/>
          <w:bCs/>
          <w:color w:val="373F56"/>
          <w:sz w:val="28"/>
          <w:szCs w:val="28"/>
        </w:rPr>
        <w:t>”</w:t>
      </w:r>
    </w:p>
    <w:p w14:paraId="23CD3AE9" w14:textId="77777777" w:rsidR="003F3FCD" w:rsidRDefault="003F3FCD" w:rsidP="00FC7B67">
      <w:p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>
        <w:rPr>
          <w:rFonts w:ascii="Roboto" w:hAnsi="Roboto" w:cs="Arial"/>
          <w:color w:val="373F56"/>
          <w:sz w:val="28"/>
          <w:szCs w:val="28"/>
        </w:rPr>
        <w:t>Instrucciones:</w:t>
      </w:r>
    </w:p>
    <w:p w14:paraId="76867BBC" w14:textId="1F85B420" w:rsidR="003F3FCD" w:rsidRPr="003F3FCD" w:rsidRDefault="003F3FCD" w:rsidP="00FC7B67">
      <w:pPr>
        <w:spacing w:after="120" w:line="276" w:lineRule="auto"/>
        <w:jc w:val="both"/>
        <w:rPr>
          <w:rFonts w:ascii="Roboto" w:hAnsi="Roboto" w:cs="Arial"/>
          <w:i/>
          <w:iCs/>
          <w:color w:val="373F56"/>
          <w:sz w:val="28"/>
          <w:szCs w:val="28"/>
        </w:rPr>
      </w:pPr>
      <w:r w:rsidRPr="003F3FCD">
        <w:rPr>
          <w:rFonts w:ascii="Roboto" w:hAnsi="Roboto" w:cs="Arial"/>
          <w:i/>
          <w:iCs/>
          <w:color w:val="373F56"/>
          <w:sz w:val="28"/>
          <w:szCs w:val="28"/>
        </w:rPr>
        <w:t>Parte 1: Preparación</w:t>
      </w:r>
    </w:p>
    <w:p w14:paraId="5D36ACA5" w14:textId="77777777" w:rsidR="00FC7B67" w:rsidRPr="00FC7B67" w:rsidRDefault="00FC7B67" w:rsidP="00FC7B67">
      <w:p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FC7B67">
        <w:rPr>
          <w:rFonts w:ascii="Roboto" w:hAnsi="Roboto" w:cs="Arial"/>
          <w:color w:val="373F56"/>
          <w:sz w:val="28"/>
          <w:szCs w:val="28"/>
        </w:rPr>
        <w:t>Elige uno de los siguientes tres escenarios hipotéticos (basados en riesgos reales) que podrían presentarse en un proceso electoral:</w:t>
      </w:r>
    </w:p>
    <w:p w14:paraId="158A0E36" w14:textId="77777777" w:rsidR="00FC7B67" w:rsidRPr="00FC7B67" w:rsidRDefault="00FC7B67" w:rsidP="00FC7B67">
      <w:pPr>
        <w:numPr>
          <w:ilvl w:val="0"/>
          <w:numId w:val="15"/>
        </w:num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FC7B67">
        <w:rPr>
          <w:rFonts w:ascii="Roboto" w:hAnsi="Roboto" w:cs="Arial"/>
          <w:color w:val="373F56"/>
          <w:sz w:val="28"/>
          <w:szCs w:val="28"/>
        </w:rPr>
        <w:t>Ataque cibernético coordinado de gran escala a la base de datos del padrón electoral una semana antes de la jornada electoral.</w:t>
      </w:r>
    </w:p>
    <w:p w14:paraId="6C4FE00B" w14:textId="77777777" w:rsidR="00FC7B67" w:rsidRPr="00FC7B67" w:rsidRDefault="00FC7B67" w:rsidP="00FC7B67">
      <w:pPr>
        <w:numPr>
          <w:ilvl w:val="0"/>
          <w:numId w:val="15"/>
        </w:num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FC7B67">
        <w:rPr>
          <w:rFonts w:ascii="Roboto" w:hAnsi="Roboto" w:cs="Arial"/>
          <w:color w:val="373F56"/>
          <w:sz w:val="28"/>
          <w:szCs w:val="28"/>
        </w:rPr>
        <w:t>Manifestaciones sociales aisladas que bloquean el acceso a 10 de 20 casillas en una zona rural el día de la jornada electoral.</w:t>
      </w:r>
    </w:p>
    <w:p w14:paraId="4F52E933" w14:textId="77777777" w:rsidR="00FC7B67" w:rsidRPr="00FC7B67" w:rsidRDefault="00FC7B67" w:rsidP="00FC7B67">
      <w:pPr>
        <w:numPr>
          <w:ilvl w:val="0"/>
          <w:numId w:val="15"/>
        </w:numPr>
        <w:spacing w:after="120" w:line="276" w:lineRule="auto"/>
        <w:jc w:val="both"/>
        <w:rPr>
          <w:rFonts w:ascii="Roboto" w:hAnsi="Roboto" w:cs="Arial"/>
          <w:color w:val="373F56"/>
          <w:sz w:val="28"/>
          <w:szCs w:val="28"/>
        </w:rPr>
      </w:pPr>
      <w:r w:rsidRPr="00FC7B67">
        <w:rPr>
          <w:rFonts w:ascii="Roboto" w:hAnsi="Roboto" w:cs="Arial"/>
          <w:color w:val="373F56"/>
          <w:sz w:val="28"/>
          <w:szCs w:val="28"/>
        </w:rPr>
        <w:t>Denuncias de financiamiento irregular de precampañas por parte de un nuevo partido político, con evidencia limitada, tres meses antes de la elección.</w:t>
      </w:r>
    </w:p>
    <w:p w14:paraId="3AC93640" w14:textId="77777777" w:rsidR="00FC7B67" w:rsidRPr="00FC7B67" w:rsidRDefault="00FC7B67" w:rsidP="00FC7B67">
      <w:pPr>
        <w:pStyle w:val="ds-markdown-paragraph"/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FC7B6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Analiza el escenario que elegiste usando los cinco criterios de priorización:</w:t>
      </w:r>
    </w:p>
    <w:p w14:paraId="5432FE3B" w14:textId="77777777" w:rsidR="00FC7B67" w:rsidRPr="00FC7B67" w:rsidRDefault="00FC7B67" w:rsidP="00FC7B67">
      <w:pPr>
        <w:pStyle w:val="ds-markdown-paragraph"/>
        <w:numPr>
          <w:ilvl w:val="0"/>
          <w:numId w:val="16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FC7B6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Impacto en la legitimidad electoral</w:t>
      </w:r>
    </w:p>
    <w:p w14:paraId="434FF420" w14:textId="77777777" w:rsidR="00FC7B67" w:rsidRPr="00FC7B67" w:rsidRDefault="00FC7B67" w:rsidP="00FC7B67">
      <w:pPr>
        <w:pStyle w:val="ds-markdown-paragraph"/>
        <w:numPr>
          <w:ilvl w:val="0"/>
          <w:numId w:val="16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FC7B6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Urgencia temporal</w:t>
      </w:r>
    </w:p>
    <w:p w14:paraId="6D554F88" w14:textId="77777777" w:rsidR="00FC7B67" w:rsidRPr="00FC7B67" w:rsidRDefault="00FC7B67" w:rsidP="00FC7B67">
      <w:pPr>
        <w:pStyle w:val="ds-markdown-paragraph"/>
        <w:numPr>
          <w:ilvl w:val="0"/>
          <w:numId w:val="16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FC7B6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Capacidad de mitigación</w:t>
      </w:r>
    </w:p>
    <w:p w14:paraId="7CD9016C" w14:textId="77777777" w:rsidR="00FC7B67" w:rsidRPr="00FC7B67" w:rsidRDefault="00FC7B67" w:rsidP="00FC7B67">
      <w:pPr>
        <w:pStyle w:val="ds-markdown-paragraph"/>
        <w:numPr>
          <w:ilvl w:val="0"/>
          <w:numId w:val="16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FC7B6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Efecto cascada</w:t>
      </w:r>
    </w:p>
    <w:p w14:paraId="2C189787" w14:textId="77777777" w:rsidR="00FC7B67" w:rsidRDefault="00FC7B67" w:rsidP="00FC7B67">
      <w:pPr>
        <w:pStyle w:val="ds-markdown-paragraph"/>
        <w:numPr>
          <w:ilvl w:val="0"/>
          <w:numId w:val="16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FC7B6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Sensibilidad política</w:t>
      </w:r>
    </w:p>
    <w:p w14:paraId="0A7D9C25" w14:textId="77777777" w:rsidR="003F3FCD" w:rsidRDefault="003F3FCD" w:rsidP="003F3FCD">
      <w:pPr>
        <w:pStyle w:val="ds-markdown-paragraph"/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</w:p>
    <w:p w14:paraId="7300C2E4" w14:textId="77777777" w:rsidR="003F3FCD" w:rsidRPr="003F3FCD" w:rsidRDefault="003F3FCD" w:rsidP="003F3FCD">
      <w:pPr>
        <w:pStyle w:val="ds-markdown-paragraph"/>
        <w:shd w:val="clear" w:color="auto" w:fill="FFFFFF"/>
        <w:spacing w:after="12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</w:p>
    <w:p w14:paraId="7F418B1A" w14:textId="77777777" w:rsidR="003F3FCD" w:rsidRPr="003F3FCD" w:rsidRDefault="003F3FCD" w:rsidP="003F3FCD">
      <w:pPr>
        <w:pStyle w:val="ds-markdown-paragraph"/>
        <w:shd w:val="clear" w:color="auto" w:fill="FFFFFF"/>
        <w:spacing w:after="120" w:line="276" w:lineRule="auto"/>
        <w:rPr>
          <w:rFonts w:ascii="Roboto" w:eastAsiaTheme="minorHAnsi" w:hAnsi="Roboto" w:cs="Arial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F3FCD">
        <w:rPr>
          <w:rFonts w:ascii="Roboto" w:eastAsiaTheme="minorHAnsi" w:hAnsi="Roboto" w:cs="Arial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lastRenderedPageBreak/>
        <w:t>Parte 2: Elaboración</w:t>
      </w:r>
    </w:p>
    <w:p w14:paraId="10826267" w14:textId="77777777" w:rsidR="003F3FCD" w:rsidRPr="003F3FCD" w:rsidRDefault="003F3FCD" w:rsidP="003F3FCD">
      <w:pPr>
        <w:pStyle w:val="ds-markdown-paragraph"/>
        <w:shd w:val="clear" w:color="auto" w:fill="FFFFFF"/>
        <w:spacing w:after="12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F3FCD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 xml:space="preserve">Elabora tu Tabla de priorización de riesgos para el escenario que elegiste. </w:t>
      </w:r>
    </w:p>
    <w:p w14:paraId="7505C9EE" w14:textId="1F1FB70A" w:rsidR="003F3FCD" w:rsidRPr="003F3FCD" w:rsidRDefault="003F3FCD" w:rsidP="003F3FCD">
      <w:pPr>
        <w:pStyle w:val="ds-markdown-paragraph"/>
        <w:numPr>
          <w:ilvl w:val="1"/>
          <w:numId w:val="22"/>
        </w:numPr>
        <w:shd w:val="clear" w:color="auto" w:fill="FFFFFF"/>
        <w:spacing w:after="120" w:line="276" w:lineRule="auto"/>
        <w:ind w:left="851" w:hanging="425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F3FCD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Identifica el nivel de riesgo del que se trata.</w:t>
      </w:r>
    </w:p>
    <w:p w14:paraId="7A20985B" w14:textId="472FCFBF" w:rsidR="003F3FCD" w:rsidRPr="003F3FCD" w:rsidRDefault="003F3FCD" w:rsidP="003F3FCD">
      <w:pPr>
        <w:pStyle w:val="ds-markdown-paragraph"/>
        <w:numPr>
          <w:ilvl w:val="1"/>
          <w:numId w:val="22"/>
        </w:numPr>
        <w:shd w:val="clear" w:color="auto" w:fill="FFFFFF"/>
        <w:spacing w:after="120" w:line="276" w:lineRule="auto"/>
        <w:ind w:left="851" w:hanging="425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F3FCD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Para cada uno de los cinco criterios de priorización elabora una justificación con un máximo de 100 palabras.</w:t>
      </w:r>
    </w:p>
    <w:p w14:paraId="4F81E6A6" w14:textId="1041ADCD" w:rsidR="003F3FCD" w:rsidRPr="003F3FCD" w:rsidRDefault="003F3FCD" w:rsidP="003F3FCD">
      <w:pPr>
        <w:pStyle w:val="ds-markdown-paragraph"/>
        <w:numPr>
          <w:ilvl w:val="1"/>
          <w:numId w:val="22"/>
        </w:numPr>
        <w:shd w:val="clear" w:color="auto" w:fill="FFFFFF"/>
        <w:spacing w:after="120" w:line="276" w:lineRule="auto"/>
        <w:ind w:left="851" w:hanging="425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F3FCD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Propón una estrategia de atención para cada criterio de priorización.</w:t>
      </w:r>
    </w:p>
    <w:p w14:paraId="04769809" w14:textId="42B55C07" w:rsidR="003F3FCD" w:rsidRPr="00FC7B67" w:rsidRDefault="003F3FCD" w:rsidP="003F3FCD">
      <w:pPr>
        <w:pStyle w:val="ds-markdown-paragraph"/>
        <w:numPr>
          <w:ilvl w:val="1"/>
          <w:numId w:val="22"/>
        </w:numPr>
        <w:shd w:val="clear" w:color="auto" w:fill="FFFFFF"/>
        <w:spacing w:before="0" w:beforeAutospacing="0" w:after="120" w:afterAutospacing="0" w:line="276" w:lineRule="auto"/>
        <w:ind w:left="851" w:hanging="425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F3FCD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Observa el ejemplo desarrollado en la parte superior de la tabla y utiliza las filas en blanco para desarrollar tu ejercicio.</w:t>
      </w:r>
    </w:p>
    <w:p w14:paraId="4679E34B" w14:textId="77777777" w:rsidR="00FC7B67" w:rsidRDefault="00FC7B67" w:rsidP="00FC7B67">
      <w:pPr>
        <w:pStyle w:val="ds-markdown-paragraph"/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23"/>
        <w:gridCol w:w="2835"/>
        <w:gridCol w:w="1426"/>
        <w:gridCol w:w="2626"/>
      </w:tblGrid>
      <w:tr w:rsidR="003F3FCD" w:rsidRPr="003F3FCD" w14:paraId="341A3965" w14:textId="77777777" w:rsidTr="001E5502">
        <w:tc>
          <w:tcPr>
            <w:tcW w:w="1723" w:type="dxa"/>
            <w:vAlign w:val="center"/>
          </w:tcPr>
          <w:p w14:paraId="5FC911C9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3F3FC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Escenario</w:t>
            </w:r>
          </w:p>
        </w:tc>
        <w:tc>
          <w:tcPr>
            <w:tcW w:w="2835" w:type="dxa"/>
            <w:vAlign w:val="center"/>
          </w:tcPr>
          <w:p w14:paraId="3FBC439B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3F3FC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Criterios de Priorización</w:t>
            </w:r>
          </w:p>
        </w:tc>
        <w:tc>
          <w:tcPr>
            <w:tcW w:w="1418" w:type="dxa"/>
          </w:tcPr>
          <w:p w14:paraId="347A6741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3F3FC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Nivel de riesgo</w:t>
            </w:r>
          </w:p>
        </w:tc>
        <w:tc>
          <w:tcPr>
            <w:tcW w:w="2626" w:type="dxa"/>
          </w:tcPr>
          <w:p w14:paraId="56D7E933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</w:pPr>
            <w:r w:rsidRPr="003F3FCD">
              <w:rPr>
                <w:rFonts w:ascii="Roboto" w:hAnsi="Roboto" w:cs="Arial"/>
                <w:b/>
                <w:bCs/>
                <w:color w:val="373F56"/>
                <w:sz w:val="28"/>
                <w:szCs w:val="28"/>
              </w:rPr>
              <w:t>Estrategia de atención propuesta</w:t>
            </w:r>
          </w:p>
        </w:tc>
      </w:tr>
      <w:tr w:rsidR="003F3FCD" w:rsidRPr="003F3FCD" w14:paraId="4722FB6A" w14:textId="77777777" w:rsidTr="001E5502">
        <w:tc>
          <w:tcPr>
            <w:tcW w:w="1723" w:type="dxa"/>
            <w:vMerge w:val="restart"/>
          </w:tcPr>
          <w:p w14:paraId="6D18B8CC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000000" w:themeColor="text1"/>
                <w:sz w:val="28"/>
                <w:szCs w:val="28"/>
              </w:rPr>
            </w:pP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Ejemplo: Fallas recurrentes en el sistema de transmisión de resultados preliminares (PREP) durante la noche de la jornada electoral.</w:t>
            </w:r>
          </w:p>
        </w:tc>
        <w:tc>
          <w:tcPr>
            <w:tcW w:w="2835" w:type="dxa"/>
          </w:tcPr>
          <w:p w14:paraId="68765388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b/>
                <w:bCs/>
                <w:i/>
                <w:iCs/>
                <w:color w:val="A6A6A6" w:themeColor="background1" w:themeShade="A6"/>
                <w:sz w:val="28"/>
                <w:szCs w:val="28"/>
              </w:rPr>
              <w:t>Impacto en la legitimidad electoral:</w:t>
            </w: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 xml:space="preserve"> un PREP intermitente puede alimentar sospechas de manipulación de resultados, aun sin evidencia de fraude.</w:t>
            </w:r>
          </w:p>
        </w:tc>
        <w:tc>
          <w:tcPr>
            <w:tcW w:w="1418" w:type="dxa"/>
          </w:tcPr>
          <w:p w14:paraId="1E6F7820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Alto</w:t>
            </w:r>
          </w:p>
        </w:tc>
        <w:tc>
          <w:tcPr>
            <w:tcW w:w="2626" w:type="dxa"/>
          </w:tcPr>
          <w:p w14:paraId="356036CC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Emitir comunicados técnicos periódicos que expliquen la causa de la falla y el estatus de su solución.</w:t>
            </w:r>
          </w:p>
        </w:tc>
      </w:tr>
      <w:tr w:rsidR="003F3FCD" w:rsidRPr="003F3FCD" w14:paraId="0CC5EB20" w14:textId="77777777" w:rsidTr="001E5502">
        <w:tc>
          <w:tcPr>
            <w:tcW w:w="1723" w:type="dxa"/>
            <w:vMerge/>
          </w:tcPr>
          <w:p w14:paraId="2413DA0A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8A084E1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b/>
                <w:bCs/>
                <w:i/>
                <w:iCs/>
                <w:color w:val="A6A6A6" w:themeColor="background1" w:themeShade="A6"/>
                <w:sz w:val="28"/>
                <w:szCs w:val="28"/>
              </w:rPr>
              <w:t>Urgencia temporal:</w:t>
            </w: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 xml:space="preserve"> ocurre en tiempo real, mientras la ciudadanía y los medios esperan resultados.</w:t>
            </w:r>
          </w:p>
        </w:tc>
        <w:tc>
          <w:tcPr>
            <w:tcW w:w="1418" w:type="dxa"/>
          </w:tcPr>
          <w:p w14:paraId="31167E03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Inmediata</w:t>
            </w:r>
          </w:p>
        </w:tc>
        <w:tc>
          <w:tcPr>
            <w:tcW w:w="2626" w:type="dxa"/>
          </w:tcPr>
          <w:p w14:paraId="46ECFD80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Activar de inmediato al equipo de soporte técnico de guardia para el diagnóstico y restablecimiento del sistema.</w:t>
            </w:r>
          </w:p>
        </w:tc>
      </w:tr>
      <w:tr w:rsidR="003F3FCD" w:rsidRPr="003F3FCD" w14:paraId="34D2AC51" w14:textId="77777777" w:rsidTr="001E5502">
        <w:tc>
          <w:tcPr>
            <w:tcW w:w="1723" w:type="dxa"/>
            <w:vMerge/>
          </w:tcPr>
          <w:p w14:paraId="1FD9D303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0280F043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b/>
                <w:bCs/>
                <w:i/>
                <w:iCs/>
                <w:color w:val="A6A6A6" w:themeColor="background1" w:themeShade="A6"/>
                <w:sz w:val="28"/>
                <w:szCs w:val="28"/>
              </w:rPr>
              <w:t>Capacidad de mitigación:</w:t>
            </w: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 xml:space="preserve"> existen protocolos de respaldo técnico, pero su activación </w:t>
            </w: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lastRenderedPageBreak/>
              <w:t>depende de la rapidez del equipo de soporte.</w:t>
            </w:r>
          </w:p>
        </w:tc>
        <w:tc>
          <w:tcPr>
            <w:tcW w:w="1418" w:type="dxa"/>
          </w:tcPr>
          <w:p w14:paraId="278DE979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lastRenderedPageBreak/>
              <w:t>Media</w:t>
            </w:r>
          </w:p>
        </w:tc>
        <w:tc>
          <w:tcPr>
            <w:tcW w:w="2626" w:type="dxa"/>
          </w:tcPr>
          <w:p w14:paraId="0A42841B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 xml:space="preserve">Contar con un servidor y una conexión alternos previamente configurados para </w:t>
            </w: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lastRenderedPageBreak/>
              <w:t>entrar en operación sin demora.</w:t>
            </w:r>
          </w:p>
        </w:tc>
      </w:tr>
      <w:tr w:rsidR="003F3FCD" w:rsidRPr="003F3FCD" w14:paraId="17901D3C" w14:textId="77777777" w:rsidTr="001E5502">
        <w:tc>
          <w:tcPr>
            <w:tcW w:w="1723" w:type="dxa"/>
            <w:vMerge/>
          </w:tcPr>
          <w:p w14:paraId="11297539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7E82BE5B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b/>
                <w:bCs/>
                <w:i/>
                <w:iCs/>
                <w:color w:val="A6A6A6" w:themeColor="background1" w:themeShade="A6"/>
                <w:sz w:val="28"/>
                <w:szCs w:val="28"/>
              </w:rPr>
              <w:t>Efecto cascada:</w:t>
            </w: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 xml:space="preserve"> la interrupción puede detonar especulación en redes sociales y presión política de los partidos.</w:t>
            </w:r>
          </w:p>
        </w:tc>
        <w:tc>
          <w:tcPr>
            <w:tcW w:w="1418" w:type="dxa"/>
          </w:tcPr>
          <w:p w14:paraId="78CDA12A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Alto</w:t>
            </w:r>
          </w:p>
        </w:tc>
        <w:tc>
          <w:tcPr>
            <w:tcW w:w="2626" w:type="dxa"/>
          </w:tcPr>
          <w:p w14:paraId="03ACCF0F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Coordinar con el área de comunicación social una estrategia de mensajes preaprobados para medios y partidos.</w:t>
            </w:r>
          </w:p>
        </w:tc>
      </w:tr>
      <w:tr w:rsidR="003F3FCD" w:rsidRPr="003F3FCD" w14:paraId="2F68CC45" w14:textId="77777777" w:rsidTr="001E5502">
        <w:tc>
          <w:tcPr>
            <w:tcW w:w="1723" w:type="dxa"/>
            <w:vMerge/>
          </w:tcPr>
          <w:p w14:paraId="0EBE55C6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6ED51A4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b/>
                <w:bCs/>
                <w:i/>
                <w:iCs/>
                <w:color w:val="A6A6A6" w:themeColor="background1" w:themeShade="A6"/>
                <w:sz w:val="28"/>
                <w:szCs w:val="28"/>
              </w:rPr>
              <w:t>Sensibilidad política:</w:t>
            </w: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 xml:space="preserve"> los partidos suelen vigilar de cerca el PREP; cualquier falla puede politizarse rápidamente.</w:t>
            </w:r>
          </w:p>
        </w:tc>
        <w:tc>
          <w:tcPr>
            <w:tcW w:w="1418" w:type="dxa"/>
          </w:tcPr>
          <w:p w14:paraId="4961C9B5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Alta</w:t>
            </w:r>
          </w:p>
        </w:tc>
        <w:tc>
          <w:tcPr>
            <w:tcW w:w="2626" w:type="dxa"/>
          </w:tcPr>
          <w:p w14:paraId="47840962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</w:pPr>
            <w:r w:rsidRPr="003F3FCD">
              <w:rPr>
                <w:rFonts w:ascii="Roboto" w:hAnsi="Roboto" w:cs="Arial"/>
                <w:i/>
                <w:iCs/>
                <w:color w:val="A6A6A6" w:themeColor="background1" w:themeShade="A6"/>
                <w:sz w:val="28"/>
                <w:szCs w:val="28"/>
              </w:rPr>
              <w:t>Convocar a los representantes de partidos a una mesa informativa que dé seguimiento a la solución en tiempo real.</w:t>
            </w:r>
          </w:p>
        </w:tc>
      </w:tr>
      <w:tr w:rsidR="003F3FCD" w:rsidRPr="003F3FCD" w14:paraId="07367B56" w14:textId="77777777" w:rsidTr="001E5502">
        <w:tc>
          <w:tcPr>
            <w:tcW w:w="1723" w:type="dxa"/>
            <w:vMerge w:val="restart"/>
          </w:tcPr>
          <w:p w14:paraId="62713A79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CDD11C5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7FF75EE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26" w:type="dxa"/>
          </w:tcPr>
          <w:p w14:paraId="5E5BEA40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</w:tr>
      <w:tr w:rsidR="003F3FCD" w:rsidRPr="003F3FCD" w14:paraId="33DC2502" w14:textId="77777777" w:rsidTr="001E5502">
        <w:tc>
          <w:tcPr>
            <w:tcW w:w="1723" w:type="dxa"/>
            <w:vMerge/>
          </w:tcPr>
          <w:p w14:paraId="50263CCD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65F764E7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5EE6E95A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26" w:type="dxa"/>
          </w:tcPr>
          <w:p w14:paraId="5B931010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</w:tr>
      <w:tr w:rsidR="003F3FCD" w:rsidRPr="003F3FCD" w14:paraId="1FEF92F3" w14:textId="77777777" w:rsidTr="001E5502">
        <w:tc>
          <w:tcPr>
            <w:tcW w:w="1723" w:type="dxa"/>
            <w:vMerge/>
          </w:tcPr>
          <w:p w14:paraId="1F84867C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3A2804D6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2C4E4BA7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26" w:type="dxa"/>
          </w:tcPr>
          <w:p w14:paraId="52B90B33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</w:tr>
      <w:tr w:rsidR="003F3FCD" w:rsidRPr="003F3FCD" w14:paraId="55135216" w14:textId="77777777" w:rsidTr="001E5502">
        <w:tc>
          <w:tcPr>
            <w:tcW w:w="1723" w:type="dxa"/>
            <w:vMerge/>
          </w:tcPr>
          <w:p w14:paraId="44E52B93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26C58231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022058D6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26" w:type="dxa"/>
          </w:tcPr>
          <w:p w14:paraId="2DFCC4B6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</w:tr>
      <w:tr w:rsidR="003F3FCD" w:rsidRPr="003F3FCD" w14:paraId="78545870" w14:textId="77777777" w:rsidTr="001E5502">
        <w:tc>
          <w:tcPr>
            <w:tcW w:w="1723" w:type="dxa"/>
            <w:vMerge/>
          </w:tcPr>
          <w:p w14:paraId="6140E9E9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835" w:type="dxa"/>
          </w:tcPr>
          <w:p w14:paraId="125A7A45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4116EC0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  <w:tc>
          <w:tcPr>
            <w:tcW w:w="2626" w:type="dxa"/>
          </w:tcPr>
          <w:p w14:paraId="1BD292BF" w14:textId="77777777" w:rsidR="003F3FCD" w:rsidRPr="003F3FCD" w:rsidRDefault="003F3FCD" w:rsidP="001E5502">
            <w:pPr>
              <w:spacing w:after="120" w:line="276" w:lineRule="auto"/>
              <w:rPr>
                <w:rFonts w:ascii="Roboto" w:hAnsi="Roboto" w:cs="Arial"/>
                <w:color w:val="000000" w:themeColor="text1"/>
                <w:sz w:val="28"/>
                <w:szCs w:val="28"/>
              </w:rPr>
            </w:pPr>
          </w:p>
        </w:tc>
      </w:tr>
    </w:tbl>
    <w:p w14:paraId="0CDEA500" w14:textId="77777777" w:rsidR="003F3FCD" w:rsidRDefault="003F3FCD" w:rsidP="00FC7B67">
      <w:pPr>
        <w:pStyle w:val="ds-markdown-paragraph"/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</w:p>
    <w:p w14:paraId="25D92BFF" w14:textId="77777777" w:rsidR="003F3FCD" w:rsidRDefault="003F3FCD" w:rsidP="00FC7B67">
      <w:pPr>
        <w:pStyle w:val="ds-markdown-paragraph"/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F3FCD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Conserva tu tabla porque la retomarás como punto de partida en el foro de cierre de este tema.</w:t>
      </w:r>
    </w:p>
    <w:p w14:paraId="6332DF48" w14:textId="77777777" w:rsidR="003F3FCD" w:rsidRDefault="003F3FCD" w:rsidP="00FC7B67">
      <w:pPr>
        <w:pStyle w:val="ds-markdown-paragraph"/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</w:pPr>
    </w:p>
    <w:p w14:paraId="745E64F1" w14:textId="0E8277BF" w:rsidR="00FC7B67" w:rsidRPr="00FC7B67" w:rsidRDefault="00FC7B67" w:rsidP="00FC7B67">
      <w:pPr>
        <w:pStyle w:val="ds-markdown-paragraph"/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FC7B67">
        <w:rPr>
          <w:rFonts w:ascii="Roboto" w:eastAsiaTheme="minorHAnsi" w:hAnsi="Roboto"/>
          <w:b/>
          <w:bCs/>
          <w:color w:val="373F56"/>
          <w:kern w:val="2"/>
          <w:sz w:val="28"/>
          <w:szCs w:val="28"/>
          <w:lang w:eastAsia="en-US"/>
          <w14:ligatures w14:val="standardContextual"/>
        </w:rPr>
        <w:t>Materiales de apoyo:</w:t>
      </w:r>
    </w:p>
    <w:p w14:paraId="009F91CF" w14:textId="4B18CD92" w:rsidR="003F3FCD" w:rsidRPr="003F3FCD" w:rsidRDefault="00FC7B67" w:rsidP="003F3FCD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F3FCD">
        <w:rPr>
          <w:rFonts w:ascii="Roboto" w:eastAsiaTheme="minorHAnsi" w:hAnsi="Roboto" w:cs="Arial"/>
          <w:i/>
          <w:iCs/>
          <w:color w:val="373F56"/>
          <w:kern w:val="2"/>
          <w:sz w:val="28"/>
          <w:szCs w:val="28"/>
          <w:lang w:eastAsia="en-US"/>
          <w14:ligatures w14:val="standardContextual"/>
        </w:rPr>
        <w:t>Protocolo para prevenir factores de riesgo en los procesos electorales</w:t>
      </w:r>
      <w:r w:rsidRPr="00FC7B67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, INE, México, 2022</w:t>
      </w:r>
      <w:r w:rsidR="003F3FCD">
        <w:rPr>
          <w:rFonts w:ascii="Roboto" w:eastAsiaTheme="minorHAnsi" w:hAnsi="Roboto" w:cs="Arial"/>
          <w:color w:val="373F56"/>
          <w:kern w:val="2"/>
          <w:sz w:val="28"/>
          <w:szCs w:val="28"/>
          <w:lang w:eastAsia="en-US"/>
          <w14:ligatures w14:val="standardContextual"/>
        </w:rPr>
        <w:t>.</w:t>
      </w:r>
    </w:p>
    <w:p w14:paraId="136305D7" w14:textId="1C443B31" w:rsidR="00880EBF" w:rsidRPr="003F3FCD" w:rsidRDefault="00FC7B67" w:rsidP="003F3FCD">
      <w:pPr>
        <w:pStyle w:val="ds-markdown-paragraph"/>
        <w:numPr>
          <w:ilvl w:val="0"/>
          <w:numId w:val="20"/>
        </w:numPr>
        <w:shd w:val="clear" w:color="auto" w:fill="FFFFFF"/>
        <w:spacing w:before="0" w:beforeAutospacing="0" w:after="120" w:afterAutospacing="0" w:line="276" w:lineRule="auto"/>
        <w:rPr>
          <w:rFonts w:ascii="Roboto" w:eastAsiaTheme="minorHAnsi" w:hAnsi="Roboto"/>
          <w:color w:val="373F56"/>
          <w:kern w:val="2"/>
          <w:sz w:val="28"/>
          <w:szCs w:val="28"/>
          <w:lang w:eastAsia="en-US"/>
          <w14:ligatures w14:val="standardContextual"/>
        </w:rPr>
      </w:pPr>
      <w:r w:rsidRPr="003F3FCD">
        <w:rPr>
          <w:rFonts w:ascii="Roboto" w:hAnsi="Roboto" w:cs="Arial"/>
          <w:color w:val="373F56"/>
          <w:sz w:val="28"/>
          <w:szCs w:val="28"/>
        </w:rPr>
        <w:lastRenderedPageBreak/>
        <w:t xml:space="preserve">Instituto Electoral y de Participación Ciudadana del Estado de Guerrero, </w:t>
      </w:r>
      <w:r w:rsidRPr="003F3FCD">
        <w:rPr>
          <w:rFonts w:ascii="Roboto" w:hAnsi="Roboto" w:cs="Arial"/>
          <w:i/>
          <w:iCs/>
          <w:color w:val="373F56"/>
          <w:sz w:val="28"/>
          <w:szCs w:val="28"/>
        </w:rPr>
        <w:t>Resultados del diagnóstico de evaluación institucional a través de la matriz FODA realizado por los 28 consejos distritales electorales, con motivo del Proceso Electoral Ordinario 2020-2021</w:t>
      </w:r>
      <w:r w:rsidRPr="003F3FCD">
        <w:rPr>
          <w:rFonts w:ascii="Roboto" w:hAnsi="Roboto" w:cs="Arial"/>
          <w:color w:val="373F56"/>
          <w:sz w:val="28"/>
          <w:szCs w:val="28"/>
        </w:rPr>
        <w:t>.</w:t>
      </w:r>
    </w:p>
    <w:sectPr w:rsidR="00880EBF" w:rsidRPr="003F3FCD" w:rsidSect="001C4015">
      <w:headerReference w:type="default" r:id="rId8"/>
      <w:pgSz w:w="12240" w:h="15840"/>
      <w:pgMar w:top="1440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98A74EF" w14:textId="77777777" w:rsidR="00A01AC2" w:rsidRDefault="00A01AC2" w:rsidP="00DE1068">
      <w:pPr>
        <w:spacing w:after="0" w:line="240" w:lineRule="auto"/>
      </w:pPr>
      <w:r>
        <w:separator/>
      </w:r>
    </w:p>
  </w:endnote>
  <w:endnote w:type="continuationSeparator" w:id="0">
    <w:p w14:paraId="575D7670" w14:textId="77777777" w:rsidR="00A01AC2" w:rsidRDefault="00A01AC2" w:rsidP="00DE10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B0604020202020204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B30D4D" w14:textId="77777777" w:rsidR="00A01AC2" w:rsidRDefault="00A01AC2" w:rsidP="00DE1068">
      <w:pPr>
        <w:spacing w:after="0" w:line="240" w:lineRule="auto"/>
      </w:pPr>
      <w:r>
        <w:separator/>
      </w:r>
    </w:p>
  </w:footnote>
  <w:footnote w:type="continuationSeparator" w:id="0">
    <w:p w14:paraId="1AC321F0" w14:textId="77777777" w:rsidR="00A01AC2" w:rsidRDefault="00A01AC2" w:rsidP="00DE10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8B155A" w14:textId="026C0E98" w:rsidR="00726EEB" w:rsidRDefault="00F310B9">
    <w:pPr>
      <w:pStyle w:val="Encabezado"/>
    </w:pPr>
    <w:r>
      <w:rPr>
        <w:noProof/>
      </w:rPr>
      <w:drawing>
        <wp:inline distT="0" distB="0" distL="0" distR="0" wp14:anchorId="611E693B" wp14:editId="27CFE197">
          <wp:extent cx="960120" cy="252955"/>
          <wp:effectExtent l="0" t="0" r="0" b="0"/>
          <wp:docPr id="10292422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6193" cy="2598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310D96"/>
    <w:multiLevelType w:val="multilevel"/>
    <w:tmpl w:val="E8FE1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036C1"/>
    <w:multiLevelType w:val="multilevel"/>
    <w:tmpl w:val="89CE3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586967"/>
    <w:multiLevelType w:val="multilevel"/>
    <w:tmpl w:val="AEE89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BC7170"/>
    <w:multiLevelType w:val="multilevel"/>
    <w:tmpl w:val="5136D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6C20CD"/>
    <w:multiLevelType w:val="hybridMultilevel"/>
    <w:tmpl w:val="0FB28F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8251E2"/>
    <w:multiLevelType w:val="hybridMultilevel"/>
    <w:tmpl w:val="3DA8C18E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E74CB"/>
    <w:multiLevelType w:val="hybridMultilevel"/>
    <w:tmpl w:val="B026393C"/>
    <w:lvl w:ilvl="0" w:tplc="34C0FF46">
      <w:start w:val="3"/>
      <w:numFmt w:val="bullet"/>
      <w:lvlText w:val=""/>
      <w:lvlJc w:val="left"/>
      <w:pPr>
        <w:ind w:left="1416" w:hanging="708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23F4C80"/>
    <w:multiLevelType w:val="hybridMultilevel"/>
    <w:tmpl w:val="27707B3C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DE4A65"/>
    <w:multiLevelType w:val="multilevel"/>
    <w:tmpl w:val="7CE86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A2F6476"/>
    <w:multiLevelType w:val="multilevel"/>
    <w:tmpl w:val="A894D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D17A1F"/>
    <w:multiLevelType w:val="hybridMultilevel"/>
    <w:tmpl w:val="77E89C8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040A0017">
      <w:start w:val="1"/>
      <w:numFmt w:val="lowerLetter"/>
      <w:lvlText w:val="%2)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5A25CA"/>
    <w:multiLevelType w:val="multilevel"/>
    <w:tmpl w:val="BC6AE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3B70AAE"/>
    <w:multiLevelType w:val="multilevel"/>
    <w:tmpl w:val="ED208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072CE9"/>
    <w:multiLevelType w:val="multilevel"/>
    <w:tmpl w:val="3C68D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63C2097"/>
    <w:multiLevelType w:val="hybridMultilevel"/>
    <w:tmpl w:val="39DACC0A"/>
    <w:lvl w:ilvl="0" w:tplc="0D42E8A8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973CBD"/>
    <w:multiLevelType w:val="multilevel"/>
    <w:tmpl w:val="58CC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FA4969"/>
    <w:multiLevelType w:val="multilevel"/>
    <w:tmpl w:val="FE7A4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297D25"/>
    <w:multiLevelType w:val="multilevel"/>
    <w:tmpl w:val="95C8A3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FC71DD7"/>
    <w:multiLevelType w:val="multilevel"/>
    <w:tmpl w:val="EEC49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0E91705"/>
    <w:multiLevelType w:val="multilevel"/>
    <w:tmpl w:val="8C3415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FFF5180"/>
    <w:multiLevelType w:val="multilevel"/>
    <w:tmpl w:val="BF86E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412566"/>
    <w:multiLevelType w:val="multilevel"/>
    <w:tmpl w:val="88EC31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780" w:hanging="70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67899748">
    <w:abstractNumId w:val="17"/>
  </w:num>
  <w:num w:numId="2" w16cid:durableId="1390961094">
    <w:abstractNumId w:val="15"/>
  </w:num>
  <w:num w:numId="3" w16cid:durableId="1365980275">
    <w:abstractNumId w:val="8"/>
  </w:num>
  <w:num w:numId="4" w16cid:durableId="1957129642">
    <w:abstractNumId w:val="20"/>
  </w:num>
  <w:num w:numId="5" w16cid:durableId="1998914894">
    <w:abstractNumId w:val="19"/>
  </w:num>
  <w:num w:numId="6" w16cid:durableId="1457137507">
    <w:abstractNumId w:val="11"/>
  </w:num>
  <w:num w:numId="7" w16cid:durableId="1774783239">
    <w:abstractNumId w:val="7"/>
  </w:num>
  <w:num w:numId="8" w16cid:durableId="2014453524">
    <w:abstractNumId w:val="14"/>
  </w:num>
  <w:num w:numId="9" w16cid:durableId="2079478676">
    <w:abstractNumId w:val="4"/>
  </w:num>
  <w:num w:numId="10" w16cid:durableId="1805852507">
    <w:abstractNumId w:val="6"/>
  </w:num>
  <w:num w:numId="11" w16cid:durableId="2080899910">
    <w:abstractNumId w:val="0"/>
  </w:num>
  <w:num w:numId="12" w16cid:durableId="1697538311">
    <w:abstractNumId w:val="9"/>
  </w:num>
  <w:num w:numId="13" w16cid:durableId="1076591059">
    <w:abstractNumId w:val="1"/>
  </w:num>
  <w:num w:numId="14" w16cid:durableId="574903079">
    <w:abstractNumId w:val="2"/>
  </w:num>
  <w:num w:numId="15" w16cid:durableId="1951467951">
    <w:abstractNumId w:val="21"/>
  </w:num>
  <w:num w:numId="16" w16cid:durableId="95564716">
    <w:abstractNumId w:val="16"/>
  </w:num>
  <w:num w:numId="17" w16cid:durableId="311450395">
    <w:abstractNumId w:val="18"/>
  </w:num>
  <w:num w:numId="18" w16cid:durableId="659774414">
    <w:abstractNumId w:val="12"/>
  </w:num>
  <w:num w:numId="19" w16cid:durableId="145971819">
    <w:abstractNumId w:val="3"/>
  </w:num>
  <w:num w:numId="20" w16cid:durableId="922760577">
    <w:abstractNumId w:val="13"/>
  </w:num>
  <w:num w:numId="21" w16cid:durableId="337315330">
    <w:abstractNumId w:val="5"/>
  </w:num>
  <w:num w:numId="22" w16cid:durableId="1455519276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4B"/>
    <w:rsid w:val="00035AA6"/>
    <w:rsid w:val="000B686D"/>
    <w:rsid w:val="000D75CD"/>
    <w:rsid w:val="000F70FB"/>
    <w:rsid w:val="00103C51"/>
    <w:rsid w:val="001C4015"/>
    <w:rsid w:val="001C42EE"/>
    <w:rsid w:val="002224D8"/>
    <w:rsid w:val="002226BD"/>
    <w:rsid w:val="00272F0D"/>
    <w:rsid w:val="002E3390"/>
    <w:rsid w:val="0030696E"/>
    <w:rsid w:val="00341251"/>
    <w:rsid w:val="003F2EE0"/>
    <w:rsid w:val="003F3FCD"/>
    <w:rsid w:val="00413A8F"/>
    <w:rsid w:val="00415AE2"/>
    <w:rsid w:val="00422F50"/>
    <w:rsid w:val="004B4BDA"/>
    <w:rsid w:val="005039CC"/>
    <w:rsid w:val="0054532D"/>
    <w:rsid w:val="00574C8A"/>
    <w:rsid w:val="00596E37"/>
    <w:rsid w:val="00701446"/>
    <w:rsid w:val="00707EE7"/>
    <w:rsid w:val="0071194A"/>
    <w:rsid w:val="00723EE6"/>
    <w:rsid w:val="00726EEB"/>
    <w:rsid w:val="00753248"/>
    <w:rsid w:val="00756A74"/>
    <w:rsid w:val="00775427"/>
    <w:rsid w:val="00781A2F"/>
    <w:rsid w:val="007A2A4B"/>
    <w:rsid w:val="007E446B"/>
    <w:rsid w:val="0081054B"/>
    <w:rsid w:val="00856A3F"/>
    <w:rsid w:val="00872B2A"/>
    <w:rsid w:val="00880EBF"/>
    <w:rsid w:val="008B7D4E"/>
    <w:rsid w:val="008D3B88"/>
    <w:rsid w:val="008E466F"/>
    <w:rsid w:val="0092328E"/>
    <w:rsid w:val="0093088D"/>
    <w:rsid w:val="009E6EBC"/>
    <w:rsid w:val="00A01AC2"/>
    <w:rsid w:val="00A13E44"/>
    <w:rsid w:val="00A31714"/>
    <w:rsid w:val="00A31A46"/>
    <w:rsid w:val="00AE2148"/>
    <w:rsid w:val="00B65FFB"/>
    <w:rsid w:val="00B764D5"/>
    <w:rsid w:val="00B8038E"/>
    <w:rsid w:val="00C04934"/>
    <w:rsid w:val="00C43960"/>
    <w:rsid w:val="00CF0B8C"/>
    <w:rsid w:val="00D22DDE"/>
    <w:rsid w:val="00D453AB"/>
    <w:rsid w:val="00D47ADB"/>
    <w:rsid w:val="00D95F17"/>
    <w:rsid w:val="00DE1068"/>
    <w:rsid w:val="00E1362F"/>
    <w:rsid w:val="00ED1056"/>
    <w:rsid w:val="00ED6090"/>
    <w:rsid w:val="00EF2AE7"/>
    <w:rsid w:val="00F0170F"/>
    <w:rsid w:val="00F310B9"/>
    <w:rsid w:val="00FC7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A41523"/>
  <w15:chartTrackingRefBased/>
  <w15:docId w15:val="{485AE3E9-E237-48FB-B21B-90D62F1B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A2A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A2A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A2A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A2A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A2A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A2A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A2A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A2A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A2A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A2A4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A2A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A2A4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7A2A4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A2A4B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A2A4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A2A4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A2A4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A2A4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A2A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A2A4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A2A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A2A4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A2A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A2A4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A2A4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A2A4B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A2A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A2A4B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A2A4B"/>
    <w:rPr>
      <w:b/>
      <w:bCs/>
      <w:smallCaps/>
      <w:color w:val="2F5496" w:themeColor="accent1" w:themeShade="BF"/>
      <w:spacing w:val="5"/>
    </w:rPr>
  </w:style>
  <w:style w:type="character" w:customStyle="1" w:styleId="normaltextrun">
    <w:name w:val="normaltextrun"/>
    <w:basedOn w:val="Fuentedeprrafopredeter"/>
    <w:rsid w:val="007A2A4B"/>
  </w:style>
  <w:style w:type="paragraph" w:styleId="Encabezado">
    <w:name w:val="header"/>
    <w:basedOn w:val="Normal"/>
    <w:link w:val="Encabezado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E1068"/>
  </w:style>
  <w:style w:type="paragraph" w:styleId="Piedepgina">
    <w:name w:val="footer"/>
    <w:basedOn w:val="Normal"/>
    <w:link w:val="PiedepginaCar"/>
    <w:uiPriority w:val="99"/>
    <w:unhideWhenUsed/>
    <w:rsid w:val="00DE10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E1068"/>
  </w:style>
  <w:style w:type="paragraph" w:styleId="TDC2">
    <w:name w:val="toc 2"/>
    <w:basedOn w:val="Normal"/>
    <w:next w:val="Normal"/>
    <w:autoRedefine/>
    <w:uiPriority w:val="39"/>
    <w:unhideWhenUsed/>
    <w:rsid w:val="00DE1068"/>
    <w:pPr>
      <w:spacing w:after="100" w:line="278" w:lineRule="auto"/>
      <w:ind w:left="240"/>
      <w:jc w:val="both"/>
    </w:pPr>
    <w:rPr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unhideWhenUsed/>
    <w:rsid w:val="00DE1068"/>
    <w:pPr>
      <w:spacing w:after="0" w:line="240" w:lineRule="auto"/>
    </w:pPr>
    <w:rPr>
      <w:rFonts w:ascii="Arial" w:hAnsi="Arial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DE1068"/>
    <w:rPr>
      <w:rFonts w:ascii="Arial" w:hAnsi="Arial"/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E106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80EBF"/>
    <w:pPr>
      <w:spacing w:line="278" w:lineRule="auto"/>
      <w:jc w:val="both"/>
    </w:pPr>
    <w:rPr>
      <w:rFonts w:ascii="Times New Roman" w:hAnsi="Times New Roman" w:cs="Times New Roman"/>
      <w:sz w:val="24"/>
      <w:szCs w:val="24"/>
    </w:rPr>
  </w:style>
  <w:style w:type="table" w:styleId="Tablaconcuadrcula">
    <w:name w:val="Table Grid"/>
    <w:basedOn w:val="Tablanormal"/>
    <w:uiPriority w:val="39"/>
    <w:rsid w:val="00880EBF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sid w:val="00707EE7"/>
    <w:rPr>
      <w:b/>
      <w:bCs/>
    </w:rPr>
  </w:style>
  <w:style w:type="table" w:styleId="Tablaconcuadrcula1clara">
    <w:name w:val="Grid Table 1 Light"/>
    <w:basedOn w:val="Tablanormal"/>
    <w:uiPriority w:val="46"/>
    <w:rsid w:val="00707EE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ds-markdown-paragraph">
    <w:name w:val="ds-markdown-paragraph"/>
    <w:basedOn w:val="Normal"/>
    <w:rsid w:val="00707E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character" w:styleId="nfasis">
    <w:name w:val="Emphasis"/>
    <w:basedOn w:val="Fuentedeprrafopredeter"/>
    <w:uiPriority w:val="20"/>
    <w:qFormat/>
    <w:rsid w:val="00707EE7"/>
    <w:rPr>
      <w:i/>
      <w:iCs/>
    </w:rPr>
  </w:style>
  <w:style w:type="table" w:styleId="Tablaconcuadrcula5oscura-nfasis5">
    <w:name w:val="Grid Table 5 Dark Accent 5"/>
    <w:basedOn w:val="Tablanormal"/>
    <w:uiPriority w:val="50"/>
    <w:rsid w:val="00FC7B67"/>
    <w:pPr>
      <w:spacing w:after="0" w:line="240" w:lineRule="auto"/>
    </w:pPr>
    <w:rPr>
      <w:sz w:val="24"/>
      <w:szCs w:val="24"/>
      <w:lang w:val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529</Words>
  <Characters>3053</Characters>
  <Application>Microsoft Office Word</Application>
  <DocSecurity>0</DocSecurity>
  <Lines>122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Ignacio Ortiz</dc:creator>
  <cp:keywords/>
  <dc:description/>
  <cp:lastModifiedBy>Direccion</cp:lastModifiedBy>
  <cp:revision>8</cp:revision>
  <cp:lastPrinted>2025-08-01T16:31:00Z</cp:lastPrinted>
  <dcterms:created xsi:type="dcterms:W3CDTF">2026-08-31T16:25:00Z</dcterms:created>
  <dcterms:modified xsi:type="dcterms:W3CDTF">2026-10-03T18:16:00Z</dcterms:modified>
</cp:coreProperties>
</file>