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4889F8C3" w:rsidR="001C4015" w:rsidRDefault="009A74E5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EF6AE0B" wp14:editId="6C028677">
            <wp:simplePos x="0" y="0"/>
            <wp:positionH relativeFrom="column">
              <wp:posOffset>-975360</wp:posOffset>
            </wp:positionH>
            <wp:positionV relativeFrom="paragraph">
              <wp:posOffset>-914400</wp:posOffset>
            </wp:positionV>
            <wp:extent cx="7840980" cy="11087951"/>
            <wp:effectExtent l="0" t="0" r="7620" b="0"/>
            <wp:wrapNone/>
            <wp:docPr id="7713325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7016" cy="1109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A1CBAA0" w14:textId="452254F6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32A4EAF" w14:textId="77777777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p w14:paraId="59D34140" w14:textId="77777777" w:rsidR="00035830" w:rsidRDefault="00035830" w:rsidP="004B4BDA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035830">
        <w:rPr>
          <w:rFonts w:ascii="Roboto" w:hAnsi="Roboto" w:cs="Arial"/>
          <w:color w:val="373F56"/>
          <w:sz w:val="28"/>
          <w:szCs w:val="28"/>
        </w:rPr>
        <w:t>Ahora que revisaste los factores de riesgo asociados al proceso electoral, te invitamos a aplicar este conocimiento para distinguir su origen y profundizar en su naturaleza. Puedes realizar este análisis de manera individual o en grupo.</w:t>
      </w:r>
    </w:p>
    <w:p w14:paraId="66A4F8BE" w14:textId="721CE6E8" w:rsidR="00422F50" w:rsidRPr="00726EEB" w:rsidRDefault="00707EE7" w:rsidP="004B4BDA">
      <w:pPr>
        <w:spacing w:line="276" w:lineRule="auto"/>
        <w:jc w:val="both"/>
        <w:rPr>
          <w:rFonts w:ascii="Roboto" w:hAnsi="Roboto" w:cs="Arial"/>
          <w:color w:val="373F56"/>
          <w:sz w:val="24"/>
          <w:szCs w:val="24"/>
        </w:rPr>
      </w:pPr>
      <w:r w:rsidRPr="00707EE7">
        <w:rPr>
          <w:rFonts w:ascii="Roboto" w:hAnsi="Roboto" w:cs="Arial"/>
          <w:color w:val="373F56"/>
          <w:sz w:val="28"/>
          <w:szCs w:val="28"/>
        </w:rPr>
        <w:t>Lee con atención en el siguiente ejemplo, los factores de riesgo, su clasificación y justificación.</w:t>
      </w:r>
    </w:p>
    <w:tbl>
      <w:tblPr>
        <w:tblStyle w:val="Tablaconcuadrcula1clara"/>
        <w:tblW w:w="5000" w:type="pct"/>
        <w:tblLook w:val="04A0" w:firstRow="1" w:lastRow="0" w:firstColumn="1" w:lastColumn="0" w:noHBand="0" w:noVBand="1"/>
      </w:tblPr>
      <w:tblGrid>
        <w:gridCol w:w="3567"/>
        <w:gridCol w:w="2050"/>
        <w:gridCol w:w="3733"/>
      </w:tblGrid>
      <w:tr w:rsidR="00707EE7" w:rsidRPr="00707EE7" w14:paraId="10F22E4A" w14:textId="77777777" w:rsidTr="00707E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601A6CD1" w14:textId="77777777" w:rsidR="00707EE7" w:rsidRPr="00707EE7" w:rsidRDefault="00707EE7" w:rsidP="0086647B">
            <w:pPr>
              <w:spacing w:after="120" w:line="276" w:lineRule="auto"/>
              <w:jc w:val="center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(a) Factor de riesgo</w:t>
            </w:r>
          </w:p>
        </w:tc>
        <w:tc>
          <w:tcPr>
            <w:tcW w:w="1096" w:type="pct"/>
            <w:hideMark/>
          </w:tcPr>
          <w:p w14:paraId="70CD64C4" w14:textId="77777777" w:rsidR="00707EE7" w:rsidRPr="00707EE7" w:rsidRDefault="00707EE7" w:rsidP="0086647B">
            <w:pPr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Clasificación (I/E)</w:t>
            </w:r>
          </w:p>
        </w:tc>
        <w:tc>
          <w:tcPr>
            <w:tcW w:w="1996" w:type="pct"/>
            <w:hideMark/>
          </w:tcPr>
          <w:p w14:paraId="129FA10D" w14:textId="77777777" w:rsidR="00707EE7" w:rsidRPr="00707EE7" w:rsidRDefault="00707EE7" w:rsidP="0086647B">
            <w:pPr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Justificación (ejemplos)</w:t>
            </w:r>
          </w:p>
        </w:tc>
      </w:tr>
      <w:tr w:rsidR="00707EE7" w:rsidRPr="00707EE7" w14:paraId="7F0912F1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35E69A0F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Deficiencias en capacitación del personal</w:t>
            </w:r>
          </w:p>
        </w:tc>
        <w:tc>
          <w:tcPr>
            <w:tcW w:w="1096" w:type="pct"/>
            <w:hideMark/>
          </w:tcPr>
          <w:p w14:paraId="6AB10EBC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I</w:t>
            </w:r>
          </w:p>
        </w:tc>
        <w:tc>
          <w:tcPr>
            <w:tcW w:w="1996" w:type="pct"/>
            <w:hideMark/>
          </w:tcPr>
          <w:p w14:paraId="258F219C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Relacionado con gestión interna de recursos humanos.</w:t>
            </w:r>
          </w:p>
        </w:tc>
      </w:tr>
      <w:tr w:rsidR="00707EE7" w:rsidRPr="00707EE7" w14:paraId="40029D5C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1A28AD60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Presencia de crimen organizado</w:t>
            </w:r>
          </w:p>
        </w:tc>
        <w:tc>
          <w:tcPr>
            <w:tcW w:w="1096" w:type="pct"/>
            <w:hideMark/>
          </w:tcPr>
          <w:p w14:paraId="258FFF3D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E</w:t>
            </w:r>
          </w:p>
        </w:tc>
        <w:tc>
          <w:tcPr>
            <w:tcW w:w="1996" w:type="pct"/>
            <w:hideMark/>
          </w:tcPr>
          <w:p w14:paraId="203F85F4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Factor contextual ajeno al proceso electoral.</w:t>
            </w:r>
          </w:p>
        </w:tc>
      </w:tr>
      <w:tr w:rsidR="00707EE7" w:rsidRPr="00707EE7" w14:paraId="484BA8C8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3F5BA358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Cambios normativos abruptos</w:t>
            </w:r>
          </w:p>
        </w:tc>
        <w:tc>
          <w:tcPr>
            <w:tcW w:w="1096" w:type="pct"/>
            <w:hideMark/>
          </w:tcPr>
          <w:p w14:paraId="39964767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I</w:t>
            </w:r>
          </w:p>
        </w:tc>
        <w:tc>
          <w:tcPr>
            <w:tcW w:w="1996" w:type="pct"/>
            <w:hideMark/>
          </w:tcPr>
          <w:p w14:paraId="553E0B7D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Deriva del marco jurídico del proceso electoral.</w:t>
            </w:r>
          </w:p>
        </w:tc>
      </w:tr>
      <w:tr w:rsidR="00707EE7" w:rsidRPr="00707EE7" w14:paraId="4ED49A0D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1996C97D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Campañas de desinformación en redes</w:t>
            </w:r>
          </w:p>
        </w:tc>
        <w:tc>
          <w:tcPr>
            <w:tcW w:w="1096" w:type="pct"/>
            <w:hideMark/>
          </w:tcPr>
          <w:p w14:paraId="48BC892A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E</w:t>
            </w:r>
          </w:p>
        </w:tc>
        <w:tc>
          <w:tcPr>
            <w:tcW w:w="1996" w:type="pct"/>
            <w:hideMark/>
          </w:tcPr>
          <w:p w14:paraId="03E6F86A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Influye desde el entorno social/digital externo.</w:t>
            </w:r>
          </w:p>
        </w:tc>
      </w:tr>
      <w:tr w:rsidR="00707EE7" w:rsidRPr="00707EE7" w14:paraId="0856F548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4D26D09E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Fallas en sistemas de transmisión de resultados</w:t>
            </w:r>
          </w:p>
        </w:tc>
        <w:tc>
          <w:tcPr>
            <w:tcW w:w="1096" w:type="pct"/>
            <w:hideMark/>
          </w:tcPr>
          <w:p w14:paraId="651E2CD1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I</w:t>
            </w:r>
          </w:p>
        </w:tc>
        <w:tc>
          <w:tcPr>
            <w:tcW w:w="1996" w:type="pct"/>
            <w:hideMark/>
          </w:tcPr>
          <w:p w14:paraId="51AA2B96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Depende de infraestructura tecnológica interna.</w:t>
            </w:r>
          </w:p>
        </w:tc>
      </w:tr>
      <w:tr w:rsidR="00707EE7" w:rsidRPr="00707EE7" w14:paraId="24AE09D7" w14:textId="77777777" w:rsidTr="00707E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7" w:type="pct"/>
            <w:hideMark/>
          </w:tcPr>
          <w:p w14:paraId="0B0C9231" w14:textId="77777777" w:rsidR="00707EE7" w:rsidRPr="00707EE7" w:rsidRDefault="00707EE7" w:rsidP="0086647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Fonts w:ascii="Roboto" w:hAnsi="Roboto" w:cs="Arial"/>
                <w:color w:val="373F56"/>
                <w:sz w:val="28"/>
                <w:szCs w:val="28"/>
              </w:rPr>
              <w:t>Conflictos sociales preexistentes</w:t>
            </w:r>
          </w:p>
        </w:tc>
        <w:tc>
          <w:tcPr>
            <w:tcW w:w="1096" w:type="pct"/>
            <w:hideMark/>
          </w:tcPr>
          <w:p w14:paraId="7C511CC4" w14:textId="77777777" w:rsidR="00707EE7" w:rsidRPr="00707EE7" w:rsidRDefault="00707EE7" w:rsidP="0086647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707EE7">
              <w:rPr>
                <w:rStyle w:val="Fuerte"/>
                <w:rFonts w:ascii="Roboto" w:eastAsiaTheme="majorEastAsia" w:hAnsi="Roboto" w:cs="Arial"/>
                <w:color w:val="373F56"/>
                <w:sz w:val="28"/>
                <w:szCs w:val="28"/>
              </w:rPr>
              <w:t>E</w:t>
            </w:r>
          </w:p>
        </w:tc>
        <w:tc>
          <w:tcPr>
            <w:tcW w:w="1996" w:type="pct"/>
            <w:hideMark/>
          </w:tcPr>
          <w:p w14:paraId="4EC98988" w14:textId="77777777" w:rsidR="00707EE7" w:rsidRPr="00707EE7" w:rsidRDefault="00707EE7" w:rsidP="0086647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707EE7">
              <w:rPr>
                <w:rFonts w:ascii="Roboto" w:hAnsi="Roboto" w:cs="Arial"/>
                <w:i/>
                <w:iCs/>
                <w:color w:val="373F56"/>
                <w:sz w:val="28"/>
                <w:szCs w:val="28"/>
                <w:lang w:val="es-MX"/>
              </w:rPr>
              <w:t>Surge de dinámicas sociopolíticas externas.</w:t>
            </w:r>
          </w:p>
        </w:tc>
      </w:tr>
    </w:tbl>
    <w:p w14:paraId="6CCFB926" w14:textId="77777777" w:rsidR="00707EE7" w:rsidRDefault="00707EE7" w:rsidP="00707EE7">
      <w:pPr>
        <w:spacing w:after="120" w:line="276" w:lineRule="auto"/>
        <w:rPr>
          <w:rStyle w:val="Fuerte"/>
          <w:rFonts w:ascii="Arial" w:eastAsiaTheme="majorEastAsia" w:hAnsi="Arial" w:cs="Arial"/>
          <w:b w:val="0"/>
          <w:bCs w:val="0"/>
          <w:color w:val="000000" w:themeColor="text1"/>
          <w:sz w:val="24"/>
          <w:szCs w:val="24"/>
        </w:rPr>
      </w:pPr>
    </w:p>
    <w:p w14:paraId="77FEE91A" w14:textId="77777777" w:rsidR="00707EE7" w:rsidRDefault="00707EE7" w:rsidP="00707EE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707EE7">
        <w:rPr>
          <w:rFonts w:ascii="Roboto" w:hAnsi="Roboto" w:cs="Arial"/>
          <w:color w:val="373F56"/>
          <w:sz w:val="28"/>
          <w:szCs w:val="28"/>
        </w:rPr>
        <w:t>Es momento de pasar a la acción. Revisa la lista de factores de riesgo que se presenta a continuación.</w:t>
      </w:r>
    </w:p>
    <w:p w14:paraId="505D48C7" w14:textId="77777777" w:rsidR="00035830" w:rsidRDefault="00035830" w:rsidP="00707EE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06B77EA" w14:textId="77777777" w:rsidR="00035830" w:rsidRDefault="00035830" w:rsidP="00707EE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49C82F1" w14:textId="77777777" w:rsidR="00035830" w:rsidRDefault="00035830" w:rsidP="00707EE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6504CDB2" w14:textId="77777777" w:rsidR="00035830" w:rsidRPr="00707EE7" w:rsidRDefault="00035830" w:rsidP="00707EE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15C11852" w14:textId="412FB0E9" w:rsidR="00707EE7" w:rsidRPr="00035830" w:rsidRDefault="00035830" w:rsidP="00707EE7">
      <w:pPr>
        <w:spacing w:after="120"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>
        <w:rPr>
          <w:rFonts w:ascii="Roboto" w:hAnsi="Roboto" w:cs="Arial"/>
          <w:b/>
          <w:bCs/>
          <w:color w:val="373F56"/>
          <w:sz w:val="28"/>
          <w:szCs w:val="28"/>
        </w:rPr>
        <w:lastRenderedPageBreak/>
        <w:t>Instrucciones:</w:t>
      </w:r>
    </w:p>
    <w:p w14:paraId="2965F666" w14:textId="77777777" w:rsidR="00035830" w:rsidRP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Parte 1: Revisa la Clasificación de factores de riesgo que se presenta a continuación.</w:t>
      </w:r>
    </w:p>
    <w:p w14:paraId="7245113D" w14:textId="680881BC" w:rsidR="00707EE7" w:rsidRPr="00707EE7" w:rsidRDefault="00707EE7" w:rsidP="00035830">
      <w:pPr>
        <w:pStyle w:val="ds-markdown-paragraph"/>
        <w:numPr>
          <w:ilvl w:val="1"/>
          <w:numId w:val="1"/>
        </w:numPr>
        <w:shd w:val="clear" w:color="auto" w:fill="FFFFFF"/>
        <w:tabs>
          <w:tab w:val="clear" w:pos="1440"/>
          <w:tab w:val="num" w:pos="851"/>
        </w:tabs>
        <w:spacing w:before="0" w:beforeAutospacing="0" w:after="120" w:afterAutospacing="0" w:line="276" w:lineRule="auto"/>
        <w:ind w:left="709" w:hanging="425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 w:cs="Arial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Interno (I):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Originado dentro del proceso electoral (por ejemplo, fallas logísticas, normativas).</w:t>
      </w:r>
    </w:p>
    <w:p w14:paraId="6E467580" w14:textId="0A5E285C" w:rsidR="00707EE7" w:rsidRDefault="00707EE7" w:rsidP="00035830">
      <w:pPr>
        <w:pStyle w:val="ds-markdown-paragraph"/>
        <w:numPr>
          <w:ilvl w:val="1"/>
          <w:numId w:val="1"/>
        </w:numPr>
        <w:shd w:val="clear" w:color="auto" w:fill="FFFFFF"/>
        <w:tabs>
          <w:tab w:val="clear" w:pos="1440"/>
          <w:tab w:val="num" w:pos="851"/>
        </w:tabs>
        <w:spacing w:before="0" w:beforeAutospacing="0" w:after="120" w:afterAutospacing="0" w:line="276" w:lineRule="auto"/>
        <w:ind w:left="709" w:hanging="425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 w:cs="Arial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Externo (E):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Proveniente del entorno sociopolítico (por ejemplo, crimen organizado, polarización).</w:t>
      </w:r>
    </w:p>
    <w:p w14:paraId="6388E7C2" w14:textId="77777777" w:rsidR="00035830" w:rsidRP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ind w:left="1440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2F86476C" w14:textId="77777777" w:rsidR="00035830" w:rsidRP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theme="minorBidi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 w:cstheme="minorBidi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Parte 2: Analiza las Interacciones que se presentan en el caso práctico: </w:t>
      </w:r>
      <w:r w:rsidRPr="00035830">
        <w:rPr>
          <w:rFonts w:ascii="Roboto" w:eastAsiaTheme="minorHAnsi" w:hAnsi="Roboto" w:cstheme="minorBidi"/>
          <w:b/>
          <w:bCs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“Elecciones en zona de alta conflictividad”</w:t>
      </w:r>
    </w:p>
    <w:p w14:paraId="20FDA289" w14:textId="5AA64EEB" w:rsidR="00707EE7" w:rsidRPr="00707EE7" w:rsidRDefault="00707EE7" w:rsidP="00707EE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br/>
      </w: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Contexto</w:t>
      </w:r>
    </w:p>
    <w:p w14:paraId="3D5134CA" w14:textId="77777777" w:rsidR="00707EE7" w:rsidRPr="00707EE7" w:rsidRDefault="00707EE7" w:rsidP="00707EE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Un municipio registra disputas territoriales entre comunidades.</w:t>
      </w:r>
    </w:p>
    <w:p w14:paraId="6F630D1C" w14:textId="77777777" w:rsidR="00707EE7" w:rsidRPr="00707EE7" w:rsidRDefault="00707EE7" w:rsidP="00707EE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El INE reporta retrasos en la entrega de material electoral debido a las disputas.</w:t>
      </w:r>
    </w:p>
    <w:p w14:paraId="45FAE24F" w14:textId="77777777" w:rsidR="00707EE7" w:rsidRPr="00707EE7" w:rsidRDefault="00707EE7" w:rsidP="00707EE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Circulan rumores en redes sociales sobre fraude electoral.</w:t>
      </w:r>
    </w:p>
    <w:p w14:paraId="44C8C358" w14:textId="77777777" w:rsidR="00707EE7" w:rsidRPr="00707EE7" w:rsidRDefault="00707EE7" w:rsidP="00707EE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Acciones</w:t>
      </w:r>
    </w:p>
    <w:p w14:paraId="64FAEE38" w14:textId="77777777" w:rsidR="00707EE7" w:rsidRPr="00707EE7" w:rsidRDefault="00707EE7" w:rsidP="00707EE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Identifique </w:t>
      </w: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un factor interno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y </w:t>
      </w: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un factor externo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del caso.</w:t>
      </w:r>
    </w:p>
    <w:p w14:paraId="0991BFBA" w14:textId="77777777" w:rsidR="00707EE7" w:rsidRPr="00707EE7" w:rsidRDefault="00707EE7" w:rsidP="00707EE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Explique cómo podrían </w:t>
      </w: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interactuar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para generar un escenario crítico.</w:t>
      </w:r>
    </w:p>
    <w:p w14:paraId="3774ECD5" w14:textId="77777777" w:rsidR="00707EE7" w:rsidRPr="00707EE7" w:rsidRDefault="00707EE7" w:rsidP="00707EE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Proponga </w:t>
      </w:r>
      <w:r w:rsidRPr="00707EE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una acción preventiva</w:t>
      </w: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para mitigar el riesgo.</w:t>
      </w:r>
    </w:p>
    <w:p w14:paraId="3514EED8" w14:textId="77777777" w:rsid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641A7CF2" w14:textId="5F61513B" w:rsid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Puedes utilizar la siguiente tabla: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3968"/>
      </w:tblGrid>
      <w:tr w:rsidR="00035830" w14:paraId="2BC970BF" w14:textId="77777777" w:rsidTr="00035830">
        <w:tc>
          <w:tcPr>
            <w:tcW w:w="5382" w:type="dxa"/>
          </w:tcPr>
          <w:p w14:paraId="59696B84" w14:textId="0ADD9F4A" w:rsidR="00035830" w:rsidRP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5830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Factores / Interacción / Acción</w:t>
            </w:r>
          </w:p>
        </w:tc>
        <w:tc>
          <w:tcPr>
            <w:tcW w:w="3968" w:type="dxa"/>
          </w:tcPr>
          <w:p w14:paraId="3C4E8823" w14:textId="5993C768" w:rsidR="00035830" w:rsidRP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5830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Tu respuesta</w:t>
            </w:r>
          </w:p>
        </w:tc>
      </w:tr>
      <w:tr w:rsidR="00035830" w14:paraId="02AF9398" w14:textId="77777777" w:rsidTr="00035830">
        <w:tc>
          <w:tcPr>
            <w:tcW w:w="5382" w:type="dxa"/>
          </w:tcPr>
          <w:p w14:paraId="17E2759A" w14:textId="77777777" w:rsid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Factor interno: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69F7148B" w14:textId="583BB42D" w:rsidR="00035830" w:rsidRP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(Por ejemplo: r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etraso en entrega de material</w:t>
            </w: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)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</w:tc>
        <w:tc>
          <w:tcPr>
            <w:tcW w:w="3968" w:type="dxa"/>
          </w:tcPr>
          <w:p w14:paraId="46DC0B70" w14:textId="77777777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035830" w14:paraId="2A9FAC87" w14:textId="77777777" w:rsidTr="00035830">
        <w:tc>
          <w:tcPr>
            <w:tcW w:w="5382" w:type="dxa"/>
          </w:tcPr>
          <w:p w14:paraId="016F64A3" w14:textId="77777777" w:rsid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Factor externo: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24BDE1C5" w14:textId="24B4F49F" w:rsidR="00035830" w:rsidRP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(Por ejemplo: r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umores de fraude en redes</w:t>
            </w: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).</w:t>
            </w:r>
          </w:p>
        </w:tc>
        <w:tc>
          <w:tcPr>
            <w:tcW w:w="3968" w:type="dxa"/>
          </w:tcPr>
          <w:p w14:paraId="238B1B36" w14:textId="77777777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035830" w14:paraId="28CB0FF3" w14:textId="77777777" w:rsidTr="00035830">
        <w:tc>
          <w:tcPr>
            <w:tcW w:w="5382" w:type="dxa"/>
          </w:tcPr>
          <w:p w14:paraId="5BE41A94" w14:textId="77777777" w:rsid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Interacción: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4AAA7C93" w14:textId="1E67ABAC" w:rsidR="00035830" w:rsidRPr="00035830" w:rsidRDefault="00035830" w:rsidP="00035830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(Por ejemplo: l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os retrasos alimentan los rumores, aumentando desconfianza y tensiones sociales</w:t>
            </w: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)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</w:tc>
        <w:tc>
          <w:tcPr>
            <w:tcW w:w="3968" w:type="dxa"/>
          </w:tcPr>
          <w:p w14:paraId="097A02D3" w14:textId="77777777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035830" w14:paraId="77053A95" w14:textId="77777777" w:rsidTr="00035830">
        <w:tc>
          <w:tcPr>
            <w:tcW w:w="5382" w:type="dxa"/>
          </w:tcPr>
          <w:p w14:paraId="2C9D7D57" w14:textId="77777777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Acción preventiva: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112FB911" w14:textId="15756F71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(Por ejemplo: c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omunicación transparente en tiempo real sobre los retrasos y causas, usando canales oficiales</w:t>
            </w: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)</w:t>
            </w: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</w:tc>
        <w:tc>
          <w:tcPr>
            <w:tcW w:w="3968" w:type="dxa"/>
          </w:tcPr>
          <w:p w14:paraId="6EDB8835" w14:textId="77777777" w:rsidR="00035830" w:rsidRDefault="00035830" w:rsidP="00035830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56D00574" w14:textId="77777777" w:rsidR="00035830" w:rsidRPr="00035830" w:rsidRDefault="00035830" w:rsidP="00035830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0A31F6E0" w14:textId="77777777" w:rsidR="00035830" w:rsidRDefault="00035830" w:rsidP="00707EE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Parte 3: Te invito a realizar una </w:t>
      </w:r>
      <w:r w:rsidRPr="00035830">
        <w:rPr>
          <w:rFonts w:ascii="Roboto" w:eastAsiaTheme="minorHAnsi" w:hAnsi="Roboto"/>
          <w:b/>
          <w:bCs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discusión guiada</w:t>
      </w:r>
      <w:r w:rsidRPr="00035830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 en pareja, respondiendo los siguientes cuestionamientos, en la tabla que se propone: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3968"/>
      </w:tblGrid>
      <w:tr w:rsidR="00035830" w14:paraId="7046E4DA" w14:textId="77777777" w:rsidTr="00035830">
        <w:tc>
          <w:tcPr>
            <w:tcW w:w="5382" w:type="dxa"/>
          </w:tcPr>
          <w:p w14:paraId="58880513" w14:textId="3EEBA01C" w:rsidR="00035830" w:rsidRPr="00035830" w:rsidRDefault="00035830" w:rsidP="00707EE7">
            <w:pPr>
              <w:pStyle w:val="ds-markdown-paragraph"/>
              <w:spacing w:before="0" w:beforeAutospacing="0" w:after="120" w:afterAutospacing="0" w:line="276" w:lineRule="auto"/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5830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Cuestionamiento</w:t>
            </w:r>
          </w:p>
        </w:tc>
        <w:tc>
          <w:tcPr>
            <w:tcW w:w="3968" w:type="dxa"/>
          </w:tcPr>
          <w:p w14:paraId="75379473" w14:textId="456BA458" w:rsidR="00035830" w:rsidRPr="00035830" w:rsidRDefault="00035830" w:rsidP="00707EE7">
            <w:pPr>
              <w:pStyle w:val="ds-markdown-paragraph"/>
              <w:spacing w:before="0" w:beforeAutospacing="0" w:after="120" w:afterAutospacing="0" w:line="276" w:lineRule="auto"/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5830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Discusión</w:t>
            </w:r>
          </w:p>
        </w:tc>
      </w:tr>
      <w:tr w:rsidR="00035830" w14:paraId="03CD33F1" w14:textId="77777777" w:rsidTr="00035830">
        <w:tc>
          <w:tcPr>
            <w:tcW w:w="5382" w:type="dxa"/>
          </w:tcPr>
          <w:p w14:paraId="6AC680BE" w14:textId="57F3DBEC" w:rsidR="00035830" w:rsidRPr="00035830" w:rsidRDefault="00035830" w:rsidP="00035830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¿Cómo un factor interno (por ejemplo, un error en el padrón electoral) podría agravarse por uno externo (por ejemplo, polarización política)?</w:t>
            </w:r>
          </w:p>
        </w:tc>
        <w:tc>
          <w:tcPr>
            <w:tcW w:w="3968" w:type="dxa"/>
          </w:tcPr>
          <w:p w14:paraId="5C45FB79" w14:textId="77777777" w:rsidR="00035830" w:rsidRDefault="00035830" w:rsidP="00707EE7">
            <w:pPr>
              <w:pStyle w:val="ds-markdown-paragraph"/>
              <w:spacing w:before="0" w:beforeAutospacing="0" w:after="120" w:afterAutospacing="0" w:line="276" w:lineRule="auto"/>
              <w:rPr>
                <w:rFonts w:ascii="Roboto" w:eastAsiaTheme="minorHAnsi" w:hAnsi="Roboto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035830" w14:paraId="1B20AA66" w14:textId="77777777" w:rsidTr="00035830">
        <w:tc>
          <w:tcPr>
            <w:tcW w:w="5382" w:type="dxa"/>
          </w:tcPr>
          <w:p w14:paraId="724E5600" w14:textId="58B8FA01" w:rsidR="00035830" w:rsidRPr="00035830" w:rsidRDefault="00035830" w:rsidP="00035830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707EE7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componentes de la "cadena de confianza" (logística, seguridad, transparencia) son más vulnerables a esta interacción?</w:t>
            </w:r>
          </w:p>
        </w:tc>
        <w:tc>
          <w:tcPr>
            <w:tcW w:w="3968" w:type="dxa"/>
          </w:tcPr>
          <w:p w14:paraId="424639B5" w14:textId="77777777" w:rsidR="00035830" w:rsidRDefault="00035830" w:rsidP="00707EE7">
            <w:pPr>
              <w:pStyle w:val="ds-markdown-paragraph"/>
              <w:spacing w:before="0" w:beforeAutospacing="0" w:after="120" w:afterAutospacing="0" w:line="276" w:lineRule="auto"/>
              <w:rPr>
                <w:rFonts w:ascii="Roboto" w:eastAsiaTheme="minorHAnsi" w:hAnsi="Roboto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2E59F26B" w14:textId="307E21D0" w:rsidR="00707EE7" w:rsidRDefault="00035830" w:rsidP="00035830">
      <w:pPr>
        <w:pStyle w:val="ds-markdown-paragraph"/>
        <w:shd w:val="clear" w:color="auto" w:fill="FFFFFF"/>
        <w:spacing w:before="120" w:beforeAutospacing="0" w:after="120" w:afterAutospacing="0" w:line="276" w:lineRule="auto"/>
        <w:jc w:val="both"/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 xml:space="preserve">Nota.- </w:t>
      </w:r>
      <w:r w:rsidRPr="00035830"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  <w:t xml:space="preserve">Más adelante podrás retomar nuevamente este ejercicio y usar el esquema de interacción con </w:t>
      </w:r>
      <w:r w:rsidRPr="00035830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la Herramienta GRE</w:t>
      </w:r>
      <w:r w:rsidRPr="00035830"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  <w:t>:  para visualizar efectos en cascada.</w:t>
      </w:r>
    </w:p>
    <w:p w14:paraId="08833A4F" w14:textId="77777777" w:rsidR="00035830" w:rsidRPr="00707EE7" w:rsidRDefault="00035830" w:rsidP="00035830">
      <w:pPr>
        <w:pStyle w:val="ds-markdown-paragraph"/>
        <w:shd w:val="clear" w:color="auto" w:fill="FFFFFF"/>
        <w:spacing w:before="12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4BB5B0E9" w14:textId="77777777" w:rsidR="00707EE7" w:rsidRPr="00707EE7" w:rsidRDefault="00707EE7" w:rsidP="00707EE7">
      <w:pPr>
        <w:spacing w:after="120" w:line="276" w:lineRule="auto"/>
        <w:rPr>
          <w:rFonts w:ascii="Roboto" w:hAnsi="Roboto" w:cs="Arial"/>
          <w:color w:val="373F56"/>
          <w:sz w:val="28"/>
          <w:szCs w:val="28"/>
        </w:rPr>
      </w:pPr>
      <w:r w:rsidRPr="00707EE7">
        <w:rPr>
          <w:rFonts w:ascii="Roboto" w:hAnsi="Roboto"/>
          <w:b/>
          <w:bCs/>
          <w:color w:val="373F56"/>
          <w:sz w:val="28"/>
          <w:szCs w:val="28"/>
        </w:rPr>
        <w:t>Material de apoyo</w:t>
      </w:r>
    </w:p>
    <w:p w14:paraId="269C4D59" w14:textId="77777777" w:rsidR="00035830" w:rsidRDefault="00707EE7" w:rsidP="00707EE7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707EE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Riesgos electorales: guía de factores de riesgo internos, 3ª ed., Estocolmo, International IDEA, 2024,</w:t>
      </w:r>
    </w:p>
    <w:p w14:paraId="136305D7" w14:textId="530AA513" w:rsidR="00880EBF" w:rsidRPr="00035830" w:rsidRDefault="00035830" w:rsidP="0003583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035830">
        <w:rPr>
          <w:rFonts w:ascii="Roboto" w:hAnsi="Roboto" w:cs="Arial"/>
          <w:color w:val="373F56"/>
          <w:sz w:val="28"/>
          <w:szCs w:val="28"/>
        </w:rPr>
        <w:t>Instituto Nacional Electoral, Protocolo para prevenir factores de riesgo en los procesos electorales, INE, México, 2022.</w:t>
      </w:r>
    </w:p>
    <w:sectPr w:rsidR="00880EBF" w:rsidRPr="00035830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47DC98" w14:textId="77777777" w:rsidR="003346CE" w:rsidRDefault="003346CE" w:rsidP="00DE1068">
      <w:pPr>
        <w:spacing w:after="0" w:line="240" w:lineRule="auto"/>
      </w:pPr>
      <w:r>
        <w:separator/>
      </w:r>
    </w:p>
  </w:endnote>
  <w:endnote w:type="continuationSeparator" w:id="0">
    <w:p w14:paraId="7D1C77CF" w14:textId="77777777" w:rsidR="003346CE" w:rsidRDefault="003346CE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F2B111" w14:textId="77777777" w:rsidR="003346CE" w:rsidRDefault="003346CE" w:rsidP="00DE1068">
      <w:pPr>
        <w:spacing w:after="0" w:line="240" w:lineRule="auto"/>
      </w:pPr>
      <w:r>
        <w:separator/>
      </w:r>
    </w:p>
  </w:footnote>
  <w:footnote w:type="continuationSeparator" w:id="0">
    <w:p w14:paraId="403AE938" w14:textId="77777777" w:rsidR="003346CE" w:rsidRDefault="003346CE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5D434662" w:rsidR="00726EEB" w:rsidRDefault="009A74E5">
    <w:pPr>
      <w:pStyle w:val="Encabezado"/>
    </w:pPr>
    <w:r>
      <w:rPr>
        <w:noProof/>
      </w:rPr>
      <w:drawing>
        <wp:inline distT="0" distB="0" distL="0" distR="0" wp14:anchorId="6476DADE" wp14:editId="7DF9527D">
          <wp:extent cx="1301515" cy="342900"/>
          <wp:effectExtent l="0" t="0" r="0" b="0"/>
          <wp:docPr id="560764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848" cy="345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3"/>
  </w:num>
  <w:num w:numId="2" w16cid:durableId="1390961094">
    <w:abstractNumId w:val="2"/>
  </w:num>
  <w:num w:numId="3" w16cid:durableId="1365980275">
    <w:abstractNumId w:val="0"/>
  </w:num>
  <w:num w:numId="4" w16cid:durableId="1957129642">
    <w:abstractNumId w:val="5"/>
  </w:num>
  <w:num w:numId="5" w16cid:durableId="1998914894">
    <w:abstractNumId w:val="4"/>
  </w:num>
  <w:num w:numId="6" w16cid:durableId="14571375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5830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E3390"/>
    <w:rsid w:val="0030696E"/>
    <w:rsid w:val="003346CE"/>
    <w:rsid w:val="00341251"/>
    <w:rsid w:val="003F2EE0"/>
    <w:rsid w:val="00413A8F"/>
    <w:rsid w:val="00415AE2"/>
    <w:rsid w:val="00422F50"/>
    <w:rsid w:val="004B4BDA"/>
    <w:rsid w:val="005039CC"/>
    <w:rsid w:val="0054532D"/>
    <w:rsid w:val="00574C8A"/>
    <w:rsid w:val="00701446"/>
    <w:rsid w:val="00707EE7"/>
    <w:rsid w:val="0071194A"/>
    <w:rsid w:val="00723EE6"/>
    <w:rsid w:val="00726EEB"/>
    <w:rsid w:val="00753248"/>
    <w:rsid w:val="00756A74"/>
    <w:rsid w:val="00775427"/>
    <w:rsid w:val="00781A2F"/>
    <w:rsid w:val="007A2A4B"/>
    <w:rsid w:val="0081054B"/>
    <w:rsid w:val="00856A3F"/>
    <w:rsid w:val="00872B2A"/>
    <w:rsid w:val="00880EBF"/>
    <w:rsid w:val="008D3B88"/>
    <w:rsid w:val="008E466F"/>
    <w:rsid w:val="0092328E"/>
    <w:rsid w:val="009A74E5"/>
    <w:rsid w:val="009E6EBC"/>
    <w:rsid w:val="00A13E44"/>
    <w:rsid w:val="00A31714"/>
    <w:rsid w:val="00A31A46"/>
    <w:rsid w:val="00AE2148"/>
    <w:rsid w:val="00B65FFB"/>
    <w:rsid w:val="00B764D5"/>
    <w:rsid w:val="00B8038E"/>
    <w:rsid w:val="00C04934"/>
    <w:rsid w:val="00C130AA"/>
    <w:rsid w:val="00C43960"/>
    <w:rsid w:val="00CF0B8C"/>
    <w:rsid w:val="00D22DDE"/>
    <w:rsid w:val="00D453AB"/>
    <w:rsid w:val="00D95F17"/>
    <w:rsid w:val="00DE1068"/>
    <w:rsid w:val="00E1362F"/>
    <w:rsid w:val="00ED1056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450</Words>
  <Characters>2756</Characters>
  <Application>Microsoft Office Word</Application>
  <DocSecurity>0</DocSecurity>
  <Lines>137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5</cp:revision>
  <cp:lastPrinted>2025-08-01T16:31:00Z</cp:lastPrinted>
  <dcterms:created xsi:type="dcterms:W3CDTF">2026-08-31T16:25:00Z</dcterms:created>
  <dcterms:modified xsi:type="dcterms:W3CDTF">2026-10-03T16:13:00Z</dcterms:modified>
</cp:coreProperties>
</file>