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p w14:paraId="3BAA1623" w14:textId="77777777" w:rsidR="002B6710" w:rsidRPr="00DC0DA8" w:rsidRDefault="002B6710" w:rsidP="002B671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2B2ED8">
        <w:rPr>
          <w:rFonts w:ascii="Roboto" w:hAnsi="Roboto" w:cs="Arial"/>
          <w:color w:val="373F56"/>
          <w:sz w:val="28"/>
          <w:szCs w:val="28"/>
        </w:rPr>
        <w:t>La retroalimentación institucional genera valor cuando se traduce en acciones de mejora. Ahora que conoces los mecanismos mediante los cuales el INE y los OPLE aprenden de su experiencia conjunta; te invito a aplicar este enfoque desde tu propio ámbito de actuación. Con ese propósito, te invito a desarrollar el siguiente diagrama de doble entrada</w:t>
      </w:r>
      <w:r>
        <w:rPr>
          <w:rFonts w:ascii="Roboto" w:hAnsi="Roboto" w:cs="Arial"/>
          <w:color w:val="373F56"/>
          <w:sz w:val="28"/>
          <w:szCs w:val="28"/>
        </w:rPr>
        <w:t xml:space="preserve">. Respondiendo </w:t>
      </w:r>
      <w:r w:rsidRPr="00DC0DA8">
        <w:rPr>
          <w:rFonts w:ascii="Roboto" w:hAnsi="Roboto" w:cs="Arial"/>
          <w:color w:val="373F56"/>
          <w:sz w:val="28"/>
          <w:szCs w:val="28"/>
        </w:rPr>
        <w:t>las preguntas guía que se proponen en cada caso.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4"/>
        <w:gridCol w:w="2513"/>
        <w:gridCol w:w="2511"/>
        <w:gridCol w:w="2532"/>
      </w:tblGrid>
      <w:tr w:rsidR="002B6710" w:rsidRPr="002B2ED8" w14:paraId="4D39232C" w14:textId="77777777" w:rsidTr="00DE31FB">
        <w:tc>
          <w:tcPr>
            <w:tcW w:w="1248" w:type="pct"/>
          </w:tcPr>
          <w:p w14:paraId="07200B18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8" w:type="pct"/>
            <w:vAlign w:val="center"/>
          </w:tcPr>
          <w:p w14:paraId="73564B0B" w14:textId="77777777" w:rsidR="002B6710" w:rsidRPr="002B2ED8" w:rsidRDefault="002B6710" w:rsidP="00DE31FB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Lecciones aprendidas</w:t>
            </w:r>
          </w:p>
        </w:tc>
        <w:tc>
          <w:tcPr>
            <w:tcW w:w="1247" w:type="pct"/>
            <w:vAlign w:val="center"/>
          </w:tcPr>
          <w:p w14:paraId="5089CF18" w14:textId="77777777" w:rsidR="002B6710" w:rsidRPr="002B2ED8" w:rsidRDefault="002B6710" w:rsidP="00DE31FB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Buenas prácticas</w:t>
            </w:r>
          </w:p>
        </w:tc>
        <w:tc>
          <w:tcPr>
            <w:tcW w:w="1257" w:type="pct"/>
            <w:vAlign w:val="center"/>
          </w:tcPr>
          <w:p w14:paraId="51DAAD59" w14:textId="77777777" w:rsidR="002B6710" w:rsidRPr="002B2ED8" w:rsidRDefault="002B6710" w:rsidP="00DE31FB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Áreas de oportunidad</w:t>
            </w:r>
          </w:p>
        </w:tc>
      </w:tr>
      <w:tr w:rsidR="002B6710" w:rsidRPr="002B2ED8" w14:paraId="486A7346" w14:textId="77777777" w:rsidTr="00DE31FB">
        <w:tc>
          <w:tcPr>
            <w:tcW w:w="1248" w:type="pct"/>
          </w:tcPr>
          <w:p w14:paraId="240721C8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Organización electoral</w:t>
            </w:r>
          </w:p>
        </w:tc>
        <w:tc>
          <w:tcPr>
            <w:tcW w:w="1248" w:type="pct"/>
          </w:tcPr>
          <w:p w14:paraId="40A7C47B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dificultades en la coordinación has identificado durante un proceso electoral?</w:t>
            </w:r>
          </w:p>
        </w:tc>
        <w:tc>
          <w:tcPr>
            <w:tcW w:w="1247" w:type="pct"/>
          </w:tcPr>
          <w:p w14:paraId="7F297FD1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acuerdos o procedimientos de organización electoral se podrían replicar en futuros procesos?</w:t>
            </w:r>
          </w:p>
        </w:tc>
        <w:tc>
          <w:tcPr>
            <w:tcW w:w="1257" w:type="pct"/>
          </w:tcPr>
          <w:p w14:paraId="76196CA9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aspectos de la organización electoral requieren mayor claridad normativa o apoyo técnico entre INE-OPLE?</w:t>
            </w:r>
          </w:p>
        </w:tc>
      </w:tr>
      <w:tr w:rsidR="002B6710" w:rsidRPr="002B2ED8" w14:paraId="3C174E62" w14:textId="77777777" w:rsidTr="00DE31FB">
        <w:tc>
          <w:tcPr>
            <w:tcW w:w="1248" w:type="pct"/>
          </w:tcPr>
          <w:p w14:paraId="36D52337" w14:textId="77777777" w:rsidR="002B6710" w:rsidRPr="00DC0DA8" w:rsidRDefault="002B6710" w:rsidP="00DE31FB">
            <w:pPr>
              <w:spacing w:after="120" w:line="276" w:lineRule="auto"/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</w:pPr>
            <w:r w:rsidRPr="00DC0DA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Respuesta:</w:t>
            </w:r>
          </w:p>
        </w:tc>
        <w:tc>
          <w:tcPr>
            <w:tcW w:w="1248" w:type="pct"/>
          </w:tcPr>
          <w:p w14:paraId="29B4C634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7" w:type="pct"/>
          </w:tcPr>
          <w:p w14:paraId="17248ED6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57" w:type="pct"/>
          </w:tcPr>
          <w:p w14:paraId="70886854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</w:tr>
    </w:tbl>
    <w:p w14:paraId="6526E6C8" w14:textId="77777777" w:rsidR="002B6710" w:rsidRDefault="002B6710" w:rsidP="002B6710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4"/>
        <w:gridCol w:w="2513"/>
        <w:gridCol w:w="2511"/>
        <w:gridCol w:w="2532"/>
      </w:tblGrid>
      <w:tr w:rsidR="002B6710" w:rsidRPr="002B2ED8" w14:paraId="55636973" w14:textId="77777777" w:rsidTr="00DE31FB">
        <w:tc>
          <w:tcPr>
            <w:tcW w:w="1248" w:type="pct"/>
          </w:tcPr>
          <w:p w14:paraId="2070770D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Capacitación electoral</w:t>
            </w:r>
          </w:p>
        </w:tc>
        <w:tc>
          <w:tcPr>
            <w:tcW w:w="1248" w:type="pct"/>
          </w:tcPr>
          <w:p w14:paraId="1593F2E2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ajustes en los programas de capacitación han resultado más significativos?</w:t>
            </w:r>
          </w:p>
        </w:tc>
        <w:tc>
          <w:tcPr>
            <w:tcW w:w="1247" w:type="pct"/>
          </w:tcPr>
          <w:p w14:paraId="67D994AD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estrategias de capacitación han mostrado mayor efectividad y por qué?</w:t>
            </w:r>
          </w:p>
        </w:tc>
        <w:tc>
          <w:tcPr>
            <w:tcW w:w="1257" w:type="pct"/>
          </w:tcPr>
          <w:p w14:paraId="2129A31E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¿En qué aspectos de la capacitación electoral identificas mayor necesidad de fortalecer la coordinación INE-OPLE?</w:t>
            </w:r>
          </w:p>
        </w:tc>
      </w:tr>
      <w:tr w:rsidR="002B6710" w:rsidRPr="002B2ED8" w14:paraId="336D45CA" w14:textId="77777777" w:rsidTr="00DE31FB">
        <w:tc>
          <w:tcPr>
            <w:tcW w:w="1248" w:type="pct"/>
          </w:tcPr>
          <w:p w14:paraId="61D1396A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DC0DA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Respuesta:</w:t>
            </w:r>
          </w:p>
        </w:tc>
        <w:tc>
          <w:tcPr>
            <w:tcW w:w="1248" w:type="pct"/>
          </w:tcPr>
          <w:p w14:paraId="32949324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7" w:type="pct"/>
          </w:tcPr>
          <w:p w14:paraId="08DD9AAE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57" w:type="pct"/>
          </w:tcPr>
          <w:p w14:paraId="3883CD71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</w:tr>
    </w:tbl>
    <w:p w14:paraId="021B12C7" w14:textId="77777777" w:rsidR="002B6710" w:rsidRDefault="002B6710" w:rsidP="002B6710"/>
    <w:p w14:paraId="63AC1F34" w14:textId="77777777" w:rsidR="002B6710" w:rsidRDefault="002B6710" w:rsidP="002B6710"/>
    <w:p w14:paraId="5D35EF99" w14:textId="77777777" w:rsidR="002B6710" w:rsidRDefault="002B6710" w:rsidP="002B6710"/>
    <w:p w14:paraId="7935AC07" w14:textId="77777777" w:rsidR="002B6710" w:rsidRDefault="002B6710" w:rsidP="002B6710"/>
    <w:p w14:paraId="1B157484" w14:textId="77777777" w:rsidR="002B6710" w:rsidRDefault="002B6710" w:rsidP="002B6710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4"/>
        <w:gridCol w:w="2513"/>
        <w:gridCol w:w="2511"/>
        <w:gridCol w:w="2532"/>
      </w:tblGrid>
      <w:tr w:rsidR="002B6710" w:rsidRPr="002B2ED8" w14:paraId="5C52F854" w14:textId="77777777" w:rsidTr="00DE31FB">
        <w:tc>
          <w:tcPr>
            <w:tcW w:w="1248" w:type="pct"/>
          </w:tcPr>
          <w:p w14:paraId="2123BC0E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Fiscalización y financiamiento</w:t>
            </w:r>
          </w:p>
        </w:tc>
        <w:tc>
          <w:tcPr>
            <w:tcW w:w="1248" w:type="pct"/>
          </w:tcPr>
          <w:p w14:paraId="72F21F3A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situaciones en materia de fiscalización han generado mayor necesidad de consulta o apoyo técnico al INE?</w:t>
            </w:r>
          </w:p>
        </w:tc>
        <w:tc>
          <w:tcPr>
            <w:tcW w:w="1247" w:type="pct"/>
          </w:tcPr>
          <w:p w14:paraId="4DA4F279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mecanismos de supervisión colaborativa INE- OPLE han resultado más efectivos?</w:t>
            </w:r>
          </w:p>
        </w:tc>
        <w:tc>
          <w:tcPr>
            <w:tcW w:w="1257" w:type="pct"/>
          </w:tcPr>
          <w:p w14:paraId="4BF6F648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brechas normativas u operativas en materia de fiscalización requieren atención prioritaria en la coordinación interinstitucional?</w:t>
            </w:r>
          </w:p>
        </w:tc>
      </w:tr>
      <w:tr w:rsidR="002B6710" w:rsidRPr="002B2ED8" w14:paraId="6A767213" w14:textId="77777777" w:rsidTr="00DE31FB">
        <w:tc>
          <w:tcPr>
            <w:tcW w:w="1248" w:type="pct"/>
          </w:tcPr>
          <w:p w14:paraId="760D95FD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DC0DA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Respuesta:</w:t>
            </w:r>
          </w:p>
        </w:tc>
        <w:tc>
          <w:tcPr>
            <w:tcW w:w="1248" w:type="pct"/>
          </w:tcPr>
          <w:p w14:paraId="02400532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7" w:type="pct"/>
          </w:tcPr>
          <w:p w14:paraId="6D14136C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57" w:type="pct"/>
          </w:tcPr>
          <w:p w14:paraId="363A0249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</w:tr>
    </w:tbl>
    <w:p w14:paraId="5D032EA6" w14:textId="77777777" w:rsidR="002B6710" w:rsidRDefault="002B6710" w:rsidP="002B6710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4"/>
        <w:gridCol w:w="2513"/>
        <w:gridCol w:w="2511"/>
        <w:gridCol w:w="2532"/>
      </w:tblGrid>
      <w:tr w:rsidR="002B6710" w:rsidRPr="002B2ED8" w14:paraId="20F58F8B" w14:textId="77777777" w:rsidTr="00DE31FB">
        <w:tc>
          <w:tcPr>
            <w:tcW w:w="1248" w:type="pct"/>
          </w:tcPr>
          <w:p w14:paraId="5E2177C9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Participación ciudadana y procedimientos normativos</w:t>
            </w:r>
          </w:p>
        </w:tc>
        <w:tc>
          <w:tcPr>
            <w:tcW w:w="1248" w:type="pct"/>
          </w:tcPr>
          <w:p w14:paraId="44FD3FEC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¿Cómo los procedimientos normativos garantizan la participación ciudadana?</w:t>
            </w:r>
          </w:p>
        </w:tc>
        <w:tc>
          <w:tcPr>
            <w:tcW w:w="1247" w:type="pct"/>
          </w:tcPr>
          <w:p w14:paraId="428A1BC6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medidas han sido más efectivas para formentar la participación ciudadana?</w:t>
            </w:r>
          </w:p>
        </w:tc>
        <w:tc>
          <w:tcPr>
            <w:tcW w:w="1257" w:type="pct"/>
          </w:tcPr>
          <w:p w14:paraId="47584901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procedimientos normativos representan mayor dificultad de aplicación coordinada entre el INE y los OPLE?</w:t>
            </w:r>
          </w:p>
        </w:tc>
      </w:tr>
      <w:tr w:rsidR="002B6710" w:rsidRPr="002B2ED8" w14:paraId="72F2873B" w14:textId="77777777" w:rsidTr="00DE31FB">
        <w:tc>
          <w:tcPr>
            <w:tcW w:w="1248" w:type="pct"/>
          </w:tcPr>
          <w:p w14:paraId="07909BB8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DC0DA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Respuesta:</w:t>
            </w:r>
          </w:p>
        </w:tc>
        <w:tc>
          <w:tcPr>
            <w:tcW w:w="1248" w:type="pct"/>
          </w:tcPr>
          <w:p w14:paraId="51B29B9D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7" w:type="pct"/>
          </w:tcPr>
          <w:p w14:paraId="4C08B199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57" w:type="pct"/>
          </w:tcPr>
          <w:p w14:paraId="04921314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</w:tr>
    </w:tbl>
    <w:p w14:paraId="5D3ADFA3" w14:textId="77777777" w:rsidR="002B6710" w:rsidRDefault="002B6710" w:rsidP="002B6710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4"/>
        <w:gridCol w:w="2513"/>
        <w:gridCol w:w="2511"/>
        <w:gridCol w:w="2532"/>
      </w:tblGrid>
      <w:tr w:rsidR="002B6710" w:rsidRPr="002B2ED8" w14:paraId="0FBFDD06" w14:textId="77777777" w:rsidTr="00DE31FB">
        <w:tc>
          <w:tcPr>
            <w:tcW w:w="1248" w:type="pct"/>
          </w:tcPr>
          <w:p w14:paraId="36A25E23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Innovación tecnológica</w:t>
            </w:r>
          </w:p>
        </w:tc>
        <w:tc>
          <w:tcPr>
            <w:tcW w:w="1248" w:type="pct"/>
          </w:tcPr>
          <w:p w14:paraId="0E022A1A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aprendizajes dejó la implementación de herramientas como el voto por internet?</w:t>
            </w:r>
          </w:p>
        </w:tc>
        <w:tc>
          <w:tcPr>
            <w:tcW w:w="1247" w:type="pct"/>
          </w:tcPr>
          <w:p w14:paraId="0415E291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soluciones tecnológicas han tenido mayor impacto en la eficiencia del proceso electoral?</w:t>
            </w:r>
          </w:p>
        </w:tc>
        <w:tc>
          <w:tcPr>
            <w:tcW w:w="1257" w:type="pct"/>
          </w:tcPr>
          <w:p w14:paraId="56A19437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2B2ED8">
              <w:rPr>
                <w:rFonts w:ascii="Arial" w:hAnsi="Arial" w:cs="Arial"/>
                <w:color w:val="373F56"/>
                <w:sz w:val="26"/>
                <w:szCs w:val="26"/>
              </w:rPr>
              <w:t>¿Qué capacidades tecnológicas requiere fortalecer tu área para una coordinación más eficiente?</w:t>
            </w:r>
          </w:p>
        </w:tc>
      </w:tr>
      <w:tr w:rsidR="002B6710" w:rsidRPr="002B2ED8" w14:paraId="1888DCED" w14:textId="77777777" w:rsidTr="00DE31FB">
        <w:tc>
          <w:tcPr>
            <w:tcW w:w="1248" w:type="pct"/>
          </w:tcPr>
          <w:p w14:paraId="4E8ED6E4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  <w:r w:rsidRPr="00DC0DA8">
              <w:rPr>
                <w:rFonts w:ascii="Arial" w:hAnsi="Arial" w:cs="Arial"/>
                <w:b/>
                <w:bCs/>
                <w:color w:val="373F56"/>
                <w:sz w:val="26"/>
                <w:szCs w:val="26"/>
              </w:rPr>
              <w:t>Respuesta:</w:t>
            </w:r>
          </w:p>
        </w:tc>
        <w:tc>
          <w:tcPr>
            <w:tcW w:w="1248" w:type="pct"/>
          </w:tcPr>
          <w:p w14:paraId="58D6CD02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47" w:type="pct"/>
          </w:tcPr>
          <w:p w14:paraId="438399F2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  <w:tc>
          <w:tcPr>
            <w:tcW w:w="1257" w:type="pct"/>
          </w:tcPr>
          <w:p w14:paraId="2AB5B90C" w14:textId="77777777" w:rsidR="002B6710" w:rsidRPr="002B2ED8" w:rsidRDefault="002B6710" w:rsidP="00DE31FB">
            <w:pPr>
              <w:spacing w:after="120" w:line="276" w:lineRule="auto"/>
              <w:rPr>
                <w:rFonts w:ascii="Arial" w:hAnsi="Arial" w:cs="Arial"/>
                <w:color w:val="373F56"/>
                <w:sz w:val="26"/>
                <w:szCs w:val="26"/>
              </w:rPr>
            </w:pPr>
          </w:p>
        </w:tc>
      </w:tr>
    </w:tbl>
    <w:p w14:paraId="55902239" w14:textId="77777777" w:rsidR="002B6710" w:rsidRPr="002B2ED8" w:rsidRDefault="002B6710" w:rsidP="002B6710">
      <w:pPr>
        <w:spacing w:line="360" w:lineRule="auto"/>
        <w:rPr>
          <w:rFonts w:ascii="Arial" w:hAnsi="Arial" w:cs="Arial"/>
          <w:color w:val="373F56"/>
          <w:sz w:val="26"/>
          <w:szCs w:val="26"/>
        </w:rPr>
      </w:pPr>
    </w:p>
    <w:p w14:paraId="70461361" w14:textId="77777777" w:rsidR="00531EBE" w:rsidRDefault="00531EBE" w:rsidP="002B6710">
      <w:pPr>
        <w:spacing w:line="276" w:lineRule="auto"/>
        <w:jc w:val="both"/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78FFCB" w14:textId="77777777" w:rsidR="00094805" w:rsidRDefault="00094805" w:rsidP="007E6FEC">
      <w:pPr>
        <w:spacing w:after="0" w:line="240" w:lineRule="auto"/>
      </w:pPr>
      <w:r>
        <w:separator/>
      </w:r>
    </w:p>
  </w:endnote>
  <w:endnote w:type="continuationSeparator" w:id="0">
    <w:p w14:paraId="1806DA94" w14:textId="77777777" w:rsidR="00094805" w:rsidRDefault="00094805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1DC3D6" w14:textId="77777777" w:rsidR="00094805" w:rsidRDefault="00094805" w:rsidP="007E6FEC">
      <w:pPr>
        <w:spacing w:after="0" w:line="240" w:lineRule="auto"/>
      </w:pPr>
      <w:r>
        <w:separator/>
      </w:r>
    </w:p>
  </w:footnote>
  <w:footnote w:type="continuationSeparator" w:id="0">
    <w:p w14:paraId="04507D7E" w14:textId="77777777" w:rsidR="00094805" w:rsidRDefault="00094805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94805"/>
    <w:rsid w:val="000F38F7"/>
    <w:rsid w:val="001E2FBB"/>
    <w:rsid w:val="00217092"/>
    <w:rsid w:val="002B6710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19</cp:revision>
  <cp:lastPrinted>2026-10-12T23:21:00Z</cp:lastPrinted>
  <dcterms:created xsi:type="dcterms:W3CDTF">2026-10-12T20:18:00Z</dcterms:created>
  <dcterms:modified xsi:type="dcterms:W3CDTF">2026-10-23T00:26:00Z</dcterms:modified>
</cp:coreProperties>
</file>