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91DA34" w14:textId="6A35BB00" w:rsidR="00413A8F" w:rsidRDefault="00745D2F" w:rsidP="00745D2F">
      <w:pPr>
        <w:spacing w:line="276" w:lineRule="auto"/>
        <w:jc w:val="center"/>
        <w:rPr>
          <w:rStyle w:val="normaltextrun"/>
          <w:rFonts w:ascii="Arial" w:hAnsi="Arial" w:cs="Arial"/>
          <w:b/>
          <w:bCs/>
          <w:noProof/>
          <w:sz w:val="28"/>
          <w:szCs w:val="28"/>
        </w:rPr>
      </w:pPr>
      <w:r>
        <w:rPr>
          <w:rStyle w:val="normaltextrun"/>
          <w:rFonts w:ascii="Arial" w:hAnsi="Arial" w:cs="Arial"/>
          <w:b/>
          <w:bCs/>
          <w:noProof/>
          <w:sz w:val="28"/>
          <w:szCs w:val="28"/>
        </w:rPr>
        <w:drawing>
          <wp:anchor distT="0" distB="0" distL="114300" distR="114300" simplePos="0" relativeHeight="251658240" behindDoc="0" locked="0" layoutInCell="1" allowOverlap="1" wp14:anchorId="6B43735F" wp14:editId="13262250">
            <wp:simplePos x="0" y="0"/>
            <wp:positionH relativeFrom="page">
              <wp:align>right</wp:align>
            </wp:positionH>
            <wp:positionV relativeFrom="page">
              <wp:align>top</wp:align>
            </wp:positionV>
            <wp:extent cx="7772400" cy="10990971"/>
            <wp:effectExtent l="0" t="0" r="0" b="1270"/>
            <wp:wrapSquare wrapText="bothSides"/>
            <wp:docPr id="14664298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72400" cy="1099097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E8B6C66" w14:textId="77777777" w:rsidR="00745D2F" w:rsidRPr="00745D2F" w:rsidRDefault="00745D2F" w:rsidP="00745D2F">
      <w:pPr>
        <w:spacing w:line="276" w:lineRule="auto"/>
        <w:jc w:val="center"/>
        <w:rPr>
          <w:rFonts w:ascii="Arial" w:hAnsi="Arial" w:cs="Arial"/>
          <w:b/>
          <w:bCs/>
          <w:noProof/>
          <w:sz w:val="28"/>
          <w:szCs w:val="28"/>
        </w:rPr>
      </w:pPr>
    </w:p>
    <w:p w14:paraId="5040590D" w14:textId="77777777" w:rsidR="00E9611A" w:rsidRPr="00E9611A" w:rsidRDefault="00E9611A" w:rsidP="00E9611A">
      <w:pPr>
        <w:spacing w:after="240" w:line="360" w:lineRule="auto"/>
        <w:ind w:left="93"/>
        <w:jc w:val="both"/>
        <w:rPr>
          <w:rFonts w:ascii="Roboto" w:hAnsi="Roboto" w:cs="Arial"/>
          <w:color w:val="373F56"/>
          <w:sz w:val="24"/>
          <w:szCs w:val="24"/>
        </w:rPr>
      </w:pPr>
      <w:r w:rsidRPr="00E9611A">
        <w:rPr>
          <w:rFonts w:ascii="Roboto" w:hAnsi="Roboto" w:cs="Arial"/>
          <w:color w:val="373F56"/>
          <w:sz w:val="24"/>
          <w:szCs w:val="24"/>
        </w:rPr>
        <w:t>El padrón electoral y las listas nominales son los principales instrumentos en la organización de los procesos electorales en México. La falta de precisión, integridad y resguardo de esta información impide el ejercicio efectivo del sufragio y, hace perder la confianza ciudadana en las instituciones electorales. El incorrecto manejo de dicha información deriva en problemas graves que afectan el derecho de las personas y la legitimidad de los procesos electorales.</w:t>
      </w:r>
    </w:p>
    <w:p w14:paraId="4FA52469" w14:textId="77777777" w:rsidR="00E9611A" w:rsidRPr="00E9611A" w:rsidRDefault="00E9611A" w:rsidP="00E9611A">
      <w:pPr>
        <w:spacing w:after="240" w:line="360" w:lineRule="auto"/>
        <w:ind w:left="93"/>
        <w:jc w:val="both"/>
        <w:rPr>
          <w:rFonts w:ascii="Roboto" w:hAnsi="Roboto" w:cs="Arial"/>
          <w:color w:val="373F56"/>
          <w:sz w:val="24"/>
          <w:szCs w:val="24"/>
        </w:rPr>
      </w:pPr>
      <w:r w:rsidRPr="00E9611A">
        <w:rPr>
          <w:rFonts w:ascii="Roboto" w:hAnsi="Roboto" w:cs="Arial"/>
          <w:color w:val="373F56"/>
          <w:sz w:val="24"/>
          <w:szCs w:val="24"/>
        </w:rPr>
        <w:t>El principal riesgo asociado al incorrecto manejo del padrón es la exposición o filtración de datos personales sensibles, lo cual contraviene la Ley General de Protección de Datos Personales en Posesión de Sujetos Obligados. Esta situación implica una violación a la privacidad de los ciudadanos y tiene consecuencias legales para los funcionarios que realicen prácticas incorrectas.</w:t>
      </w:r>
    </w:p>
    <w:p w14:paraId="0D729E13" w14:textId="77777777" w:rsidR="00E9611A" w:rsidRPr="00E9611A" w:rsidRDefault="00E9611A" w:rsidP="00E9611A">
      <w:pPr>
        <w:spacing w:after="240" w:line="360" w:lineRule="auto"/>
        <w:ind w:left="93"/>
        <w:jc w:val="both"/>
        <w:rPr>
          <w:rFonts w:ascii="Roboto" w:hAnsi="Roboto" w:cs="Arial"/>
          <w:color w:val="373F56"/>
          <w:sz w:val="24"/>
          <w:szCs w:val="24"/>
        </w:rPr>
      </w:pPr>
      <w:r w:rsidRPr="00E9611A">
        <w:rPr>
          <w:rFonts w:ascii="Roboto" w:hAnsi="Roboto" w:cs="Arial"/>
          <w:color w:val="373F56"/>
          <w:sz w:val="24"/>
          <w:szCs w:val="24"/>
        </w:rPr>
        <w:t>La falta de calidad en la gestión de la información genera la falta de actualización misma. Si los datos de los ciudadanos no se mantienen actualizados, puede haber errores en la integración de las listas nominales, lo que impide que las personas ejerzan su derecho al voto. Este tipo de fallas, aunque puedan parecer menores o generar una excesiva confianza de que no se presenten, podrían tener un impacto directo en la participación ciudadana y en la percepción de legitimidad de los procesos electorales.</w:t>
      </w:r>
    </w:p>
    <w:p w14:paraId="0126EEC9" w14:textId="77777777" w:rsidR="00E9611A" w:rsidRPr="00E9611A" w:rsidRDefault="00E9611A" w:rsidP="00E9611A">
      <w:pPr>
        <w:spacing w:after="240" w:line="360" w:lineRule="auto"/>
        <w:ind w:left="93"/>
        <w:jc w:val="both"/>
        <w:rPr>
          <w:rFonts w:ascii="Roboto" w:hAnsi="Roboto" w:cs="Arial"/>
          <w:color w:val="373F56"/>
          <w:sz w:val="24"/>
          <w:szCs w:val="24"/>
        </w:rPr>
      </w:pPr>
      <w:r w:rsidRPr="00E9611A">
        <w:rPr>
          <w:rFonts w:ascii="Roboto" w:hAnsi="Roboto" w:cs="Arial"/>
          <w:color w:val="373F56"/>
          <w:sz w:val="24"/>
          <w:szCs w:val="24"/>
        </w:rPr>
        <w:t>Asimismo, el manejo inadecuado de la información puede generar dudas sobre actos de fraude electoral, como el uso de registros falsos o duplicados, lo cual representa una amenaza directa a la transparencia de las elecciones. Cualquier debilidad en el padrón o en su administración puede ser aprovechada para tratar de proyectar una imagen de manipulación de los resultados o sugerir una distorsión de la voluntad ciudadana.</w:t>
      </w:r>
    </w:p>
    <w:p w14:paraId="5F9B3DA5" w14:textId="4DA34B1E" w:rsidR="00AA6AFC" w:rsidRPr="00745D2F" w:rsidRDefault="00E9611A" w:rsidP="00E9611A">
      <w:pPr>
        <w:spacing w:after="240" w:line="360" w:lineRule="auto"/>
        <w:ind w:left="93"/>
        <w:jc w:val="both"/>
        <w:rPr>
          <w:rFonts w:ascii="Roboto" w:hAnsi="Roboto" w:cs="Arial"/>
          <w:color w:val="373F56"/>
          <w:sz w:val="24"/>
          <w:szCs w:val="24"/>
        </w:rPr>
      </w:pPr>
      <w:r w:rsidRPr="00E9611A">
        <w:rPr>
          <w:rFonts w:ascii="Roboto" w:hAnsi="Roboto" w:cs="Arial"/>
          <w:color w:val="373F56"/>
          <w:sz w:val="24"/>
          <w:szCs w:val="24"/>
        </w:rPr>
        <w:t>La ausencia de controles internos y la capacitación deficiente del personal responsable del manejo de la información también constituyen factores críticos. En conclusión, el mal manejo de la información del padrón electoral y de las listas nominales compromete el ejercicio de derechos fundamentales, afecta la calidad democrática y expone al sistema electoral a vulnerabilidades graves.</w:t>
      </w:r>
    </w:p>
    <w:sectPr w:rsidR="00AA6AFC" w:rsidRPr="00745D2F" w:rsidSect="001C4015">
      <w:headerReference w:type="default" r:id="rId8"/>
      <w:pgSz w:w="12240" w:h="15840"/>
      <w:pgMar w:top="1440" w:right="1440" w:bottom="85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BC902B" w14:textId="77777777" w:rsidR="008076F1" w:rsidRDefault="008076F1" w:rsidP="00DE1068">
      <w:pPr>
        <w:spacing w:after="0" w:line="240" w:lineRule="auto"/>
      </w:pPr>
      <w:r>
        <w:separator/>
      </w:r>
    </w:p>
  </w:endnote>
  <w:endnote w:type="continuationSeparator" w:id="0">
    <w:p w14:paraId="6AF40556" w14:textId="77777777" w:rsidR="008076F1" w:rsidRDefault="008076F1" w:rsidP="00DE10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E80D6" w14:textId="77777777" w:rsidR="008076F1" w:rsidRDefault="008076F1" w:rsidP="00DE1068">
      <w:pPr>
        <w:spacing w:after="0" w:line="240" w:lineRule="auto"/>
      </w:pPr>
      <w:r>
        <w:separator/>
      </w:r>
    </w:p>
  </w:footnote>
  <w:footnote w:type="continuationSeparator" w:id="0">
    <w:p w14:paraId="26D178E8" w14:textId="77777777" w:rsidR="008076F1" w:rsidRDefault="008076F1" w:rsidP="00DE10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593FB" w14:textId="174EB7D3" w:rsidR="00AA6AFC" w:rsidRDefault="00AA6AFC">
    <w:pPr>
      <w:pStyle w:val="Encabezado"/>
    </w:pPr>
    <w:r w:rsidRPr="00AA6AFC">
      <w:rPr>
        <w:b/>
        <w:bCs/>
        <w:noProof/>
        <w:color w:val="373F56"/>
        <w:sz w:val="32"/>
        <w:szCs w:val="32"/>
      </w:rPr>
      <w:drawing>
        <wp:anchor distT="0" distB="0" distL="114300" distR="114300" simplePos="0" relativeHeight="251659264" behindDoc="1" locked="0" layoutInCell="1" allowOverlap="1" wp14:anchorId="41EEDDEA" wp14:editId="03C41FB2">
          <wp:simplePos x="0" y="0"/>
          <wp:positionH relativeFrom="column">
            <wp:posOffset>0</wp:posOffset>
          </wp:positionH>
          <wp:positionV relativeFrom="paragraph">
            <wp:posOffset>-635</wp:posOffset>
          </wp:positionV>
          <wp:extent cx="1082040" cy="333051"/>
          <wp:effectExtent l="0" t="0" r="3810" b="0"/>
          <wp:wrapNone/>
          <wp:docPr id="28286373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82040" cy="333051"/>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2C082F"/>
    <w:multiLevelType w:val="hybridMultilevel"/>
    <w:tmpl w:val="3B22D1A4"/>
    <w:lvl w:ilvl="0" w:tplc="080A0001">
      <w:start w:val="1"/>
      <w:numFmt w:val="bullet"/>
      <w:lvlText w:val=""/>
      <w:lvlJc w:val="left"/>
      <w:pPr>
        <w:ind w:left="813" w:hanging="360"/>
      </w:pPr>
      <w:rPr>
        <w:rFonts w:ascii="Symbol" w:hAnsi="Symbol" w:hint="default"/>
      </w:rPr>
    </w:lvl>
    <w:lvl w:ilvl="1" w:tplc="080A0003" w:tentative="1">
      <w:start w:val="1"/>
      <w:numFmt w:val="bullet"/>
      <w:lvlText w:val="o"/>
      <w:lvlJc w:val="left"/>
      <w:pPr>
        <w:ind w:left="1533" w:hanging="360"/>
      </w:pPr>
      <w:rPr>
        <w:rFonts w:ascii="Courier New" w:hAnsi="Courier New" w:cs="Courier New" w:hint="default"/>
      </w:rPr>
    </w:lvl>
    <w:lvl w:ilvl="2" w:tplc="080A0005" w:tentative="1">
      <w:start w:val="1"/>
      <w:numFmt w:val="bullet"/>
      <w:lvlText w:val=""/>
      <w:lvlJc w:val="left"/>
      <w:pPr>
        <w:ind w:left="2253" w:hanging="360"/>
      </w:pPr>
      <w:rPr>
        <w:rFonts w:ascii="Wingdings" w:hAnsi="Wingdings" w:hint="default"/>
      </w:rPr>
    </w:lvl>
    <w:lvl w:ilvl="3" w:tplc="080A0001" w:tentative="1">
      <w:start w:val="1"/>
      <w:numFmt w:val="bullet"/>
      <w:lvlText w:val=""/>
      <w:lvlJc w:val="left"/>
      <w:pPr>
        <w:ind w:left="2973" w:hanging="360"/>
      </w:pPr>
      <w:rPr>
        <w:rFonts w:ascii="Symbol" w:hAnsi="Symbol" w:hint="default"/>
      </w:rPr>
    </w:lvl>
    <w:lvl w:ilvl="4" w:tplc="080A0003" w:tentative="1">
      <w:start w:val="1"/>
      <w:numFmt w:val="bullet"/>
      <w:lvlText w:val="o"/>
      <w:lvlJc w:val="left"/>
      <w:pPr>
        <w:ind w:left="3693" w:hanging="360"/>
      </w:pPr>
      <w:rPr>
        <w:rFonts w:ascii="Courier New" w:hAnsi="Courier New" w:cs="Courier New" w:hint="default"/>
      </w:rPr>
    </w:lvl>
    <w:lvl w:ilvl="5" w:tplc="080A0005" w:tentative="1">
      <w:start w:val="1"/>
      <w:numFmt w:val="bullet"/>
      <w:lvlText w:val=""/>
      <w:lvlJc w:val="left"/>
      <w:pPr>
        <w:ind w:left="4413" w:hanging="360"/>
      </w:pPr>
      <w:rPr>
        <w:rFonts w:ascii="Wingdings" w:hAnsi="Wingdings" w:hint="default"/>
      </w:rPr>
    </w:lvl>
    <w:lvl w:ilvl="6" w:tplc="080A0001" w:tentative="1">
      <w:start w:val="1"/>
      <w:numFmt w:val="bullet"/>
      <w:lvlText w:val=""/>
      <w:lvlJc w:val="left"/>
      <w:pPr>
        <w:ind w:left="5133" w:hanging="360"/>
      </w:pPr>
      <w:rPr>
        <w:rFonts w:ascii="Symbol" w:hAnsi="Symbol" w:hint="default"/>
      </w:rPr>
    </w:lvl>
    <w:lvl w:ilvl="7" w:tplc="080A0003" w:tentative="1">
      <w:start w:val="1"/>
      <w:numFmt w:val="bullet"/>
      <w:lvlText w:val="o"/>
      <w:lvlJc w:val="left"/>
      <w:pPr>
        <w:ind w:left="5853" w:hanging="360"/>
      </w:pPr>
      <w:rPr>
        <w:rFonts w:ascii="Courier New" w:hAnsi="Courier New" w:cs="Courier New" w:hint="default"/>
      </w:rPr>
    </w:lvl>
    <w:lvl w:ilvl="8" w:tplc="080A0005" w:tentative="1">
      <w:start w:val="1"/>
      <w:numFmt w:val="bullet"/>
      <w:lvlText w:val=""/>
      <w:lvlJc w:val="left"/>
      <w:pPr>
        <w:ind w:left="6573" w:hanging="360"/>
      </w:pPr>
      <w:rPr>
        <w:rFonts w:ascii="Wingdings" w:hAnsi="Wingdings" w:hint="default"/>
      </w:rPr>
    </w:lvl>
  </w:abstractNum>
  <w:abstractNum w:abstractNumId="1" w15:restartNumberingAfterBreak="0">
    <w:nsid w:val="179908DB"/>
    <w:multiLevelType w:val="hybridMultilevel"/>
    <w:tmpl w:val="7422DD4A"/>
    <w:lvl w:ilvl="0" w:tplc="1F149758">
      <w:numFmt w:val="bullet"/>
      <w:lvlText w:val="•"/>
      <w:lvlJc w:val="left"/>
      <w:pPr>
        <w:ind w:left="705" w:hanging="612"/>
      </w:pPr>
      <w:rPr>
        <w:rFonts w:ascii="Roboto" w:eastAsiaTheme="minorHAnsi" w:hAnsi="Roboto" w:cs="Arial" w:hint="default"/>
      </w:rPr>
    </w:lvl>
    <w:lvl w:ilvl="1" w:tplc="080A0003" w:tentative="1">
      <w:start w:val="1"/>
      <w:numFmt w:val="bullet"/>
      <w:lvlText w:val="o"/>
      <w:lvlJc w:val="left"/>
      <w:pPr>
        <w:ind w:left="1173" w:hanging="360"/>
      </w:pPr>
      <w:rPr>
        <w:rFonts w:ascii="Courier New" w:hAnsi="Courier New" w:cs="Courier New" w:hint="default"/>
      </w:rPr>
    </w:lvl>
    <w:lvl w:ilvl="2" w:tplc="080A0005" w:tentative="1">
      <w:start w:val="1"/>
      <w:numFmt w:val="bullet"/>
      <w:lvlText w:val=""/>
      <w:lvlJc w:val="left"/>
      <w:pPr>
        <w:ind w:left="1893" w:hanging="360"/>
      </w:pPr>
      <w:rPr>
        <w:rFonts w:ascii="Wingdings" w:hAnsi="Wingdings" w:hint="default"/>
      </w:rPr>
    </w:lvl>
    <w:lvl w:ilvl="3" w:tplc="080A0001" w:tentative="1">
      <w:start w:val="1"/>
      <w:numFmt w:val="bullet"/>
      <w:lvlText w:val=""/>
      <w:lvlJc w:val="left"/>
      <w:pPr>
        <w:ind w:left="2613" w:hanging="360"/>
      </w:pPr>
      <w:rPr>
        <w:rFonts w:ascii="Symbol" w:hAnsi="Symbol" w:hint="default"/>
      </w:rPr>
    </w:lvl>
    <w:lvl w:ilvl="4" w:tplc="080A0003" w:tentative="1">
      <w:start w:val="1"/>
      <w:numFmt w:val="bullet"/>
      <w:lvlText w:val="o"/>
      <w:lvlJc w:val="left"/>
      <w:pPr>
        <w:ind w:left="3333" w:hanging="360"/>
      </w:pPr>
      <w:rPr>
        <w:rFonts w:ascii="Courier New" w:hAnsi="Courier New" w:cs="Courier New" w:hint="default"/>
      </w:rPr>
    </w:lvl>
    <w:lvl w:ilvl="5" w:tplc="080A0005" w:tentative="1">
      <w:start w:val="1"/>
      <w:numFmt w:val="bullet"/>
      <w:lvlText w:val=""/>
      <w:lvlJc w:val="left"/>
      <w:pPr>
        <w:ind w:left="4053" w:hanging="360"/>
      </w:pPr>
      <w:rPr>
        <w:rFonts w:ascii="Wingdings" w:hAnsi="Wingdings" w:hint="default"/>
      </w:rPr>
    </w:lvl>
    <w:lvl w:ilvl="6" w:tplc="080A0001" w:tentative="1">
      <w:start w:val="1"/>
      <w:numFmt w:val="bullet"/>
      <w:lvlText w:val=""/>
      <w:lvlJc w:val="left"/>
      <w:pPr>
        <w:ind w:left="4773" w:hanging="360"/>
      </w:pPr>
      <w:rPr>
        <w:rFonts w:ascii="Symbol" w:hAnsi="Symbol" w:hint="default"/>
      </w:rPr>
    </w:lvl>
    <w:lvl w:ilvl="7" w:tplc="080A0003" w:tentative="1">
      <w:start w:val="1"/>
      <w:numFmt w:val="bullet"/>
      <w:lvlText w:val="o"/>
      <w:lvlJc w:val="left"/>
      <w:pPr>
        <w:ind w:left="5493" w:hanging="360"/>
      </w:pPr>
      <w:rPr>
        <w:rFonts w:ascii="Courier New" w:hAnsi="Courier New" w:cs="Courier New" w:hint="default"/>
      </w:rPr>
    </w:lvl>
    <w:lvl w:ilvl="8" w:tplc="080A0005" w:tentative="1">
      <w:start w:val="1"/>
      <w:numFmt w:val="bullet"/>
      <w:lvlText w:val=""/>
      <w:lvlJc w:val="left"/>
      <w:pPr>
        <w:ind w:left="6213" w:hanging="360"/>
      </w:pPr>
      <w:rPr>
        <w:rFonts w:ascii="Wingdings" w:hAnsi="Wingdings" w:hint="default"/>
      </w:rPr>
    </w:lvl>
  </w:abstractNum>
  <w:abstractNum w:abstractNumId="2" w15:restartNumberingAfterBreak="0">
    <w:nsid w:val="3257018D"/>
    <w:multiLevelType w:val="multilevel"/>
    <w:tmpl w:val="CA2237AE"/>
    <w:lvl w:ilvl="0">
      <w:start w:val="1"/>
      <w:numFmt w:val="decimal"/>
      <w:lvlText w:val="%1."/>
      <w:lvlJc w:val="left"/>
      <w:pPr>
        <w:tabs>
          <w:tab w:val="num" w:pos="-267"/>
        </w:tabs>
        <w:ind w:left="-267" w:hanging="360"/>
      </w:pPr>
    </w:lvl>
    <w:lvl w:ilvl="1">
      <w:start w:val="1"/>
      <w:numFmt w:val="decimal"/>
      <w:lvlText w:val="%2."/>
      <w:lvlJc w:val="left"/>
      <w:pPr>
        <w:tabs>
          <w:tab w:val="num" w:pos="453"/>
        </w:tabs>
        <w:ind w:left="453" w:hanging="360"/>
      </w:pPr>
    </w:lvl>
    <w:lvl w:ilvl="2">
      <w:start w:val="1"/>
      <w:numFmt w:val="lowerLetter"/>
      <w:lvlText w:val="%3."/>
      <w:lvlJc w:val="left"/>
      <w:pPr>
        <w:ind w:left="1173" w:hanging="360"/>
      </w:pPr>
    </w:lvl>
    <w:lvl w:ilvl="3">
      <w:start w:val="1"/>
      <w:numFmt w:val="decimal"/>
      <w:lvlText w:val="%4."/>
      <w:lvlJc w:val="left"/>
      <w:pPr>
        <w:tabs>
          <w:tab w:val="num" w:pos="1893"/>
        </w:tabs>
        <w:ind w:left="1893" w:hanging="360"/>
      </w:pPr>
      <w:rPr>
        <w:b/>
        <w:bCs/>
      </w:rPr>
    </w:lvl>
    <w:lvl w:ilvl="4" w:tentative="1">
      <w:start w:val="1"/>
      <w:numFmt w:val="decimal"/>
      <w:lvlText w:val="%5."/>
      <w:lvlJc w:val="left"/>
      <w:pPr>
        <w:tabs>
          <w:tab w:val="num" w:pos="2613"/>
        </w:tabs>
        <w:ind w:left="2613" w:hanging="360"/>
      </w:pPr>
    </w:lvl>
    <w:lvl w:ilvl="5" w:tentative="1">
      <w:start w:val="1"/>
      <w:numFmt w:val="decimal"/>
      <w:lvlText w:val="%6."/>
      <w:lvlJc w:val="left"/>
      <w:pPr>
        <w:tabs>
          <w:tab w:val="num" w:pos="3333"/>
        </w:tabs>
        <w:ind w:left="3333" w:hanging="360"/>
      </w:pPr>
    </w:lvl>
    <w:lvl w:ilvl="6" w:tentative="1">
      <w:start w:val="1"/>
      <w:numFmt w:val="decimal"/>
      <w:lvlText w:val="%7."/>
      <w:lvlJc w:val="left"/>
      <w:pPr>
        <w:tabs>
          <w:tab w:val="num" w:pos="4053"/>
        </w:tabs>
        <w:ind w:left="4053" w:hanging="360"/>
      </w:pPr>
    </w:lvl>
    <w:lvl w:ilvl="7" w:tentative="1">
      <w:start w:val="1"/>
      <w:numFmt w:val="decimal"/>
      <w:lvlText w:val="%8."/>
      <w:lvlJc w:val="left"/>
      <w:pPr>
        <w:tabs>
          <w:tab w:val="num" w:pos="4773"/>
        </w:tabs>
        <w:ind w:left="4773" w:hanging="360"/>
      </w:pPr>
    </w:lvl>
    <w:lvl w:ilvl="8" w:tentative="1">
      <w:start w:val="1"/>
      <w:numFmt w:val="decimal"/>
      <w:lvlText w:val="%9."/>
      <w:lvlJc w:val="left"/>
      <w:pPr>
        <w:tabs>
          <w:tab w:val="num" w:pos="5493"/>
        </w:tabs>
        <w:ind w:left="5493" w:hanging="360"/>
      </w:pPr>
    </w:lvl>
  </w:abstractNum>
  <w:abstractNum w:abstractNumId="3" w15:restartNumberingAfterBreak="0">
    <w:nsid w:val="6E910D0A"/>
    <w:multiLevelType w:val="multilevel"/>
    <w:tmpl w:val="894E154C"/>
    <w:lvl w:ilvl="0">
      <w:start w:val="1"/>
      <w:numFmt w:val="decimal"/>
      <w:lvlText w:val="%1."/>
      <w:lvlJc w:val="left"/>
      <w:pPr>
        <w:tabs>
          <w:tab w:val="num" w:pos="-267"/>
        </w:tabs>
        <w:ind w:left="-267" w:hanging="360"/>
      </w:pPr>
    </w:lvl>
    <w:lvl w:ilvl="1">
      <w:start w:val="1"/>
      <w:numFmt w:val="bullet"/>
      <w:lvlText w:val=""/>
      <w:lvlJc w:val="left"/>
      <w:pPr>
        <w:ind w:left="453" w:hanging="360"/>
      </w:pPr>
      <w:rPr>
        <w:rFonts w:ascii="Symbol" w:hAnsi="Symbol" w:hint="default"/>
      </w:rPr>
    </w:lvl>
    <w:lvl w:ilvl="2">
      <w:start w:val="1"/>
      <w:numFmt w:val="lowerLetter"/>
      <w:lvlText w:val="%3."/>
      <w:lvlJc w:val="left"/>
      <w:pPr>
        <w:ind w:left="1173" w:hanging="360"/>
      </w:pPr>
    </w:lvl>
    <w:lvl w:ilvl="3">
      <w:start w:val="1"/>
      <w:numFmt w:val="decimal"/>
      <w:lvlText w:val="%4."/>
      <w:lvlJc w:val="left"/>
      <w:pPr>
        <w:ind w:left="1893" w:hanging="360"/>
      </w:pPr>
    </w:lvl>
    <w:lvl w:ilvl="4" w:tentative="1">
      <w:start w:val="1"/>
      <w:numFmt w:val="decimal"/>
      <w:lvlText w:val="%5."/>
      <w:lvlJc w:val="left"/>
      <w:pPr>
        <w:tabs>
          <w:tab w:val="num" w:pos="2613"/>
        </w:tabs>
        <w:ind w:left="2613" w:hanging="360"/>
      </w:pPr>
    </w:lvl>
    <w:lvl w:ilvl="5" w:tentative="1">
      <w:start w:val="1"/>
      <w:numFmt w:val="decimal"/>
      <w:lvlText w:val="%6."/>
      <w:lvlJc w:val="left"/>
      <w:pPr>
        <w:tabs>
          <w:tab w:val="num" w:pos="3333"/>
        </w:tabs>
        <w:ind w:left="3333" w:hanging="360"/>
      </w:pPr>
    </w:lvl>
    <w:lvl w:ilvl="6" w:tentative="1">
      <w:start w:val="1"/>
      <w:numFmt w:val="decimal"/>
      <w:lvlText w:val="%7."/>
      <w:lvlJc w:val="left"/>
      <w:pPr>
        <w:tabs>
          <w:tab w:val="num" w:pos="4053"/>
        </w:tabs>
        <w:ind w:left="4053" w:hanging="360"/>
      </w:pPr>
    </w:lvl>
    <w:lvl w:ilvl="7" w:tentative="1">
      <w:start w:val="1"/>
      <w:numFmt w:val="decimal"/>
      <w:lvlText w:val="%8."/>
      <w:lvlJc w:val="left"/>
      <w:pPr>
        <w:tabs>
          <w:tab w:val="num" w:pos="4773"/>
        </w:tabs>
        <w:ind w:left="4773" w:hanging="360"/>
      </w:pPr>
    </w:lvl>
    <w:lvl w:ilvl="8" w:tentative="1">
      <w:start w:val="1"/>
      <w:numFmt w:val="decimal"/>
      <w:lvlText w:val="%9."/>
      <w:lvlJc w:val="left"/>
      <w:pPr>
        <w:tabs>
          <w:tab w:val="num" w:pos="5493"/>
        </w:tabs>
        <w:ind w:left="5493" w:hanging="360"/>
      </w:pPr>
    </w:lvl>
  </w:abstractNum>
  <w:abstractNum w:abstractNumId="4" w15:restartNumberingAfterBreak="0">
    <w:nsid w:val="76323A57"/>
    <w:multiLevelType w:val="multilevel"/>
    <w:tmpl w:val="E96C525A"/>
    <w:lvl w:ilvl="0">
      <w:start w:val="1"/>
      <w:numFmt w:val="decimal"/>
      <w:lvlText w:val="%1."/>
      <w:lvlJc w:val="left"/>
      <w:pPr>
        <w:tabs>
          <w:tab w:val="num" w:pos="-267"/>
        </w:tabs>
        <w:ind w:left="-267" w:hanging="360"/>
      </w:pPr>
    </w:lvl>
    <w:lvl w:ilvl="1">
      <w:start w:val="1"/>
      <w:numFmt w:val="decimal"/>
      <w:lvlText w:val="%2."/>
      <w:lvlJc w:val="left"/>
      <w:pPr>
        <w:tabs>
          <w:tab w:val="num" w:pos="453"/>
        </w:tabs>
        <w:ind w:left="453" w:hanging="360"/>
      </w:pPr>
    </w:lvl>
    <w:lvl w:ilvl="2">
      <w:start w:val="1"/>
      <w:numFmt w:val="lowerLetter"/>
      <w:lvlText w:val="%3."/>
      <w:lvlJc w:val="left"/>
      <w:pPr>
        <w:ind w:left="1173" w:hanging="360"/>
      </w:pPr>
    </w:lvl>
    <w:lvl w:ilvl="3">
      <w:start w:val="1"/>
      <w:numFmt w:val="decimal"/>
      <w:lvlText w:val="%4."/>
      <w:lvlJc w:val="left"/>
      <w:pPr>
        <w:ind w:left="1893" w:hanging="360"/>
      </w:pPr>
    </w:lvl>
    <w:lvl w:ilvl="4" w:tentative="1">
      <w:start w:val="1"/>
      <w:numFmt w:val="decimal"/>
      <w:lvlText w:val="%5."/>
      <w:lvlJc w:val="left"/>
      <w:pPr>
        <w:tabs>
          <w:tab w:val="num" w:pos="2613"/>
        </w:tabs>
        <w:ind w:left="2613" w:hanging="360"/>
      </w:pPr>
    </w:lvl>
    <w:lvl w:ilvl="5" w:tentative="1">
      <w:start w:val="1"/>
      <w:numFmt w:val="decimal"/>
      <w:lvlText w:val="%6."/>
      <w:lvlJc w:val="left"/>
      <w:pPr>
        <w:tabs>
          <w:tab w:val="num" w:pos="3333"/>
        </w:tabs>
        <w:ind w:left="3333" w:hanging="360"/>
      </w:pPr>
    </w:lvl>
    <w:lvl w:ilvl="6" w:tentative="1">
      <w:start w:val="1"/>
      <w:numFmt w:val="decimal"/>
      <w:lvlText w:val="%7."/>
      <w:lvlJc w:val="left"/>
      <w:pPr>
        <w:tabs>
          <w:tab w:val="num" w:pos="4053"/>
        </w:tabs>
        <w:ind w:left="4053" w:hanging="360"/>
      </w:pPr>
    </w:lvl>
    <w:lvl w:ilvl="7" w:tentative="1">
      <w:start w:val="1"/>
      <w:numFmt w:val="decimal"/>
      <w:lvlText w:val="%8."/>
      <w:lvlJc w:val="left"/>
      <w:pPr>
        <w:tabs>
          <w:tab w:val="num" w:pos="4773"/>
        </w:tabs>
        <w:ind w:left="4773" w:hanging="360"/>
      </w:pPr>
    </w:lvl>
    <w:lvl w:ilvl="8" w:tentative="1">
      <w:start w:val="1"/>
      <w:numFmt w:val="decimal"/>
      <w:lvlText w:val="%9."/>
      <w:lvlJc w:val="left"/>
      <w:pPr>
        <w:tabs>
          <w:tab w:val="num" w:pos="5493"/>
        </w:tabs>
        <w:ind w:left="5493" w:hanging="360"/>
      </w:pPr>
    </w:lvl>
  </w:abstractNum>
  <w:num w:numId="1" w16cid:durableId="1443181711">
    <w:abstractNumId w:val="2"/>
  </w:num>
  <w:num w:numId="2" w16cid:durableId="1590844648">
    <w:abstractNumId w:val="4"/>
  </w:num>
  <w:num w:numId="3" w16cid:durableId="1480539671">
    <w:abstractNumId w:val="3"/>
  </w:num>
  <w:num w:numId="4" w16cid:durableId="1158349660">
    <w:abstractNumId w:val="0"/>
  </w:num>
  <w:num w:numId="5" w16cid:durableId="9272338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A4B"/>
    <w:rsid w:val="000B1613"/>
    <w:rsid w:val="0015342C"/>
    <w:rsid w:val="00184E64"/>
    <w:rsid w:val="001C4015"/>
    <w:rsid w:val="001F7294"/>
    <w:rsid w:val="002216F6"/>
    <w:rsid w:val="00272F0D"/>
    <w:rsid w:val="003F2EE0"/>
    <w:rsid w:val="00413A8F"/>
    <w:rsid w:val="004E7FD3"/>
    <w:rsid w:val="005035CA"/>
    <w:rsid w:val="00567923"/>
    <w:rsid w:val="00574C8A"/>
    <w:rsid w:val="00592248"/>
    <w:rsid w:val="006F21C6"/>
    <w:rsid w:val="006F6B84"/>
    <w:rsid w:val="00745D2F"/>
    <w:rsid w:val="00746311"/>
    <w:rsid w:val="00752C68"/>
    <w:rsid w:val="00775427"/>
    <w:rsid w:val="007A2A4B"/>
    <w:rsid w:val="0080301F"/>
    <w:rsid w:val="008076F1"/>
    <w:rsid w:val="0081054B"/>
    <w:rsid w:val="008321AF"/>
    <w:rsid w:val="00856A3F"/>
    <w:rsid w:val="00872B2A"/>
    <w:rsid w:val="008B3E87"/>
    <w:rsid w:val="008E466F"/>
    <w:rsid w:val="009F3FF3"/>
    <w:rsid w:val="00A42081"/>
    <w:rsid w:val="00A52354"/>
    <w:rsid w:val="00AA6AFC"/>
    <w:rsid w:val="00AC0B9E"/>
    <w:rsid w:val="00B9441A"/>
    <w:rsid w:val="00B94AE2"/>
    <w:rsid w:val="00BA101D"/>
    <w:rsid w:val="00C04934"/>
    <w:rsid w:val="00C43960"/>
    <w:rsid w:val="00C52D31"/>
    <w:rsid w:val="00CA578E"/>
    <w:rsid w:val="00D2140B"/>
    <w:rsid w:val="00DE1068"/>
    <w:rsid w:val="00DF1972"/>
    <w:rsid w:val="00E1362F"/>
    <w:rsid w:val="00E56B8A"/>
    <w:rsid w:val="00E9611A"/>
    <w:rsid w:val="00EB04A6"/>
    <w:rsid w:val="00EC1745"/>
    <w:rsid w:val="00EF2AE7"/>
    <w:rsid w:val="00FD02D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41523"/>
  <w15:chartTrackingRefBased/>
  <w15:docId w15:val="{485AE3E9-E237-48FB-B21B-90D62F1B8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A2A4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7A2A4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7A2A4B"/>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unhideWhenUsed/>
    <w:qFormat/>
    <w:rsid w:val="007A2A4B"/>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7A2A4B"/>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7A2A4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A2A4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A2A4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A2A4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A2A4B"/>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7A2A4B"/>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7A2A4B"/>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rsid w:val="007A2A4B"/>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7A2A4B"/>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7A2A4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A2A4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A2A4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A2A4B"/>
    <w:rPr>
      <w:rFonts w:eastAsiaTheme="majorEastAsia" w:cstheme="majorBidi"/>
      <w:color w:val="272727" w:themeColor="text1" w:themeTint="D8"/>
    </w:rPr>
  </w:style>
  <w:style w:type="paragraph" w:styleId="Ttulo">
    <w:name w:val="Title"/>
    <w:basedOn w:val="Normal"/>
    <w:next w:val="Normal"/>
    <w:link w:val="TtuloCar"/>
    <w:uiPriority w:val="10"/>
    <w:qFormat/>
    <w:rsid w:val="007A2A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A2A4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A2A4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A2A4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A2A4B"/>
    <w:pPr>
      <w:spacing w:before="160"/>
      <w:jc w:val="center"/>
    </w:pPr>
    <w:rPr>
      <w:i/>
      <w:iCs/>
      <w:color w:val="404040" w:themeColor="text1" w:themeTint="BF"/>
    </w:rPr>
  </w:style>
  <w:style w:type="character" w:customStyle="1" w:styleId="CitaCar">
    <w:name w:val="Cita Car"/>
    <w:basedOn w:val="Fuentedeprrafopredeter"/>
    <w:link w:val="Cita"/>
    <w:uiPriority w:val="29"/>
    <w:rsid w:val="007A2A4B"/>
    <w:rPr>
      <w:i/>
      <w:iCs/>
      <w:color w:val="404040" w:themeColor="text1" w:themeTint="BF"/>
    </w:rPr>
  </w:style>
  <w:style w:type="paragraph" w:styleId="Prrafodelista">
    <w:name w:val="List Paragraph"/>
    <w:aliases w:val="CNBV Parrafo1,Párrafo de lista1,Listas,AB List 1,Bullet Points,Bullet List,FooterText,numbered,Paragraphe de liste1,List Paragraph1,Bulletr List Paragraph,Parrafo 1,List Paragraph-Thesis,Dot pt,List Paragraph Char Char Char,Bullet 1,lp1"/>
    <w:basedOn w:val="Normal"/>
    <w:link w:val="PrrafodelistaCar"/>
    <w:uiPriority w:val="34"/>
    <w:qFormat/>
    <w:rsid w:val="007A2A4B"/>
    <w:pPr>
      <w:ind w:left="720"/>
      <w:contextualSpacing/>
    </w:pPr>
  </w:style>
  <w:style w:type="character" w:styleId="nfasisintenso">
    <w:name w:val="Intense Emphasis"/>
    <w:basedOn w:val="Fuentedeprrafopredeter"/>
    <w:uiPriority w:val="21"/>
    <w:qFormat/>
    <w:rsid w:val="007A2A4B"/>
    <w:rPr>
      <w:i/>
      <w:iCs/>
      <w:color w:val="2F5496" w:themeColor="accent1" w:themeShade="BF"/>
    </w:rPr>
  </w:style>
  <w:style w:type="paragraph" w:styleId="Citadestacada">
    <w:name w:val="Intense Quote"/>
    <w:basedOn w:val="Normal"/>
    <w:next w:val="Normal"/>
    <w:link w:val="CitadestacadaCar"/>
    <w:uiPriority w:val="30"/>
    <w:qFormat/>
    <w:rsid w:val="007A2A4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7A2A4B"/>
    <w:rPr>
      <w:i/>
      <w:iCs/>
      <w:color w:val="2F5496" w:themeColor="accent1" w:themeShade="BF"/>
    </w:rPr>
  </w:style>
  <w:style w:type="character" w:styleId="Referenciaintensa">
    <w:name w:val="Intense Reference"/>
    <w:basedOn w:val="Fuentedeprrafopredeter"/>
    <w:uiPriority w:val="32"/>
    <w:qFormat/>
    <w:rsid w:val="007A2A4B"/>
    <w:rPr>
      <w:b/>
      <w:bCs/>
      <w:smallCaps/>
      <w:color w:val="2F5496" w:themeColor="accent1" w:themeShade="BF"/>
      <w:spacing w:val="5"/>
    </w:rPr>
  </w:style>
  <w:style w:type="character" w:customStyle="1" w:styleId="normaltextrun">
    <w:name w:val="normaltextrun"/>
    <w:basedOn w:val="Fuentedeprrafopredeter"/>
    <w:rsid w:val="007A2A4B"/>
  </w:style>
  <w:style w:type="paragraph" w:styleId="Encabezado">
    <w:name w:val="header"/>
    <w:basedOn w:val="Normal"/>
    <w:link w:val="EncabezadoCar"/>
    <w:uiPriority w:val="99"/>
    <w:unhideWhenUsed/>
    <w:rsid w:val="00DE1068"/>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DE1068"/>
  </w:style>
  <w:style w:type="paragraph" w:styleId="Piedepgina">
    <w:name w:val="footer"/>
    <w:basedOn w:val="Normal"/>
    <w:link w:val="PiedepginaCar"/>
    <w:uiPriority w:val="99"/>
    <w:unhideWhenUsed/>
    <w:rsid w:val="00DE1068"/>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DE1068"/>
  </w:style>
  <w:style w:type="paragraph" w:styleId="TDC2">
    <w:name w:val="toc 2"/>
    <w:basedOn w:val="Normal"/>
    <w:next w:val="Normal"/>
    <w:autoRedefine/>
    <w:uiPriority w:val="39"/>
    <w:unhideWhenUsed/>
    <w:rsid w:val="00DE1068"/>
    <w:pPr>
      <w:spacing w:after="100" w:line="278" w:lineRule="auto"/>
      <w:ind w:left="240"/>
      <w:jc w:val="both"/>
    </w:pPr>
    <w:rPr>
      <w:sz w:val="24"/>
      <w:szCs w:val="24"/>
    </w:rPr>
  </w:style>
  <w:style w:type="paragraph" w:styleId="Textonotapie">
    <w:name w:val="footnote text"/>
    <w:basedOn w:val="Normal"/>
    <w:link w:val="TextonotapieCar"/>
    <w:uiPriority w:val="99"/>
    <w:unhideWhenUsed/>
    <w:rsid w:val="00DE1068"/>
    <w:pPr>
      <w:spacing w:after="0" w:line="240" w:lineRule="auto"/>
    </w:pPr>
    <w:rPr>
      <w:rFonts w:ascii="Arial" w:hAnsi="Arial"/>
      <w:sz w:val="20"/>
      <w:szCs w:val="20"/>
    </w:rPr>
  </w:style>
  <w:style w:type="character" w:customStyle="1" w:styleId="TextonotapieCar">
    <w:name w:val="Texto nota pie Car"/>
    <w:basedOn w:val="Fuentedeprrafopredeter"/>
    <w:link w:val="Textonotapie"/>
    <w:uiPriority w:val="99"/>
    <w:rsid w:val="00DE1068"/>
    <w:rPr>
      <w:rFonts w:ascii="Arial" w:hAnsi="Arial"/>
      <w:sz w:val="20"/>
      <w:szCs w:val="20"/>
    </w:rPr>
  </w:style>
  <w:style w:type="character" w:styleId="Refdenotaalpie">
    <w:name w:val="footnote reference"/>
    <w:basedOn w:val="Fuentedeprrafopredeter"/>
    <w:uiPriority w:val="99"/>
    <w:semiHidden/>
    <w:unhideWhenUsed/>
    <w:rsid w:val="00DE1068"/>
    <w:rPr>
      <w:vertAlign w:val="superscript"/>
    </w:rPr>
  </w:style>
  <w:style w:type="character" w:customStyle="1" w:styleId="PrrafodelistaCar">
    <w:name w:val="Párrafo de lista Car"/>
    <w:aliases w:val="CNBV Parrafo1 Car,Párrafo de lista1 Car,Listas Car,AB List 1 Car,Bullet Points Car,Bullet List Car,FooterText Car,numbered Car,Paragraphe de liste1 Car,List Paragraph1 Car,Bulletr List Paragraph Car,Parrafo 1 Car,Dot pt Car,lp1 Car"/>
    <w:link w:val="Prrafodelista"/>
    <w:uiPriority w:val="34"/>
    <w:qFormat/>
    <w:rsid w:val="00CA57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334</Words>
  <Characters>1842</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Ignacio Ortiz</dc:creator>
  <cp:keywords/>
  <dc:description/>
  <cp:lastModifiedBy>Ignacio Ortiz</cp:lastModifiedBy>
  <cp:revision>4</cp:revision>
  <cp:lastPrinted>2025-08-01T16:31:00Z</cp:lastPrinted>
  <dcterms:created xsi:type="dcterms:W3CDTF">2026-08-29T18:17:00Z</dcterms:created>
  <dcterms:modified xsi:type="dcterms:W3CDTF">2026-08-29T18:35:00Z</dcterms:modified>
</cp:coreProperties>
</file>