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A34" w14:textId="6A35BB00" w:rsidR="00413A8F" w:rsidRDefault="00745D2F" w:rsidP="00745D2F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B43735F" wp14:editId="1326225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10990971"/>
            <wp:effectExtent l="0" t="0" r="0" b="1270"/>
            <wp:wrapSquare wrapText="bothSides"/>
            <wp:docPr id="1466429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9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B6C66" w14:textId="77777777" w:rsidR="00745D2F" w:rsidRPr="00745D2F" w:rsidRDefault="00745D2F" w:rsidP="00745D2F">
      <w:pPr>
        <w:spacing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</w:p>
    <w:p w14:paraId="2D1DF3B7" w14:textId="77777777" w:rsidR="00184E64" w:rsidRPr="00184E64" w:rsidRDefault="00184E64" w:rsidP="00184E64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184E64">
        <w:rPr>
          <w:rFonts w:ascii="Roboto" w:hAnsi="Roboto" w:cs="Arial"/>
          <w:color w:val="373F56"/>
          <w:sz w:val="24"/>
          <w:szCs w:val="24"/>
        </w:rPr>
        <w:t>Los funcionarios electorales cuentan con habilidades importantes en lo que se refiere a la atención ciudadana y a los partidos políticos, no obstante, la práctica de la democracia genera desgaste y diferencias naturales entre los distintos actores.</w:t>
      </w:r>
    </w:p>
    <w:p w14:paraId="711B8CDE" w14:textId="77777777" w:rsidR="00184E64" w:rsidRPr="00184E64" w:rsidRDefault="00184E64" w:rsidP="00184E64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184E64">
        <w:rPr>
          <w:rFonts w:ascii="Roboto" w:hAnsi="Roboto" w:cs="Arial"/>
          <w:color w:val="373F56"/>
          <w:sz w:val="24"/>
          <w:szCs w:val="24"/>
        </w:rPr>
        <w:t>El deterioro de las relaciones institucionales no es algo anómalo, ni patológico de la democracia, es una consecuencia normal en un contexto de pluralidad y diferencias. Dicho contexto de pluralidad también obliga a una convivencia armónica, donde las contradicciones se resuelven a través de procedimientos que implican la práctica de principios como la cordialidad y el buen trato entre los actores.</w:t>
      </w:r>
    </w:p>
    <w:p w14:paraId="48F8153D" w14:textId="77777777" w:rsidR="00184E64" w:rsidRPr="00184E64" w:rsidRDefault="00184E64" w:rsidP="00184E64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184E64">
        <w:rPr>
          <w:rFonts w:ascii="Roboto" w:hAnsi="Roboto" w:cs="Arial"/>
          <w:color w:val="373F56"/>
          <w:sz w:val="24"/>
          <w:szCs w:val="24"/>
        </w:rPr>
        <w:t>Resolver problemas y contradicciones entre actores con distintos intereses es todo un reto y puede generar falta de motivación en la atención por parte de los funcionarios del INE, indiferencias o provocar respuestas imprecisas o desactualizadas, también pueden existir retrasos o ineficiencias en trámites básicos. Estas deficiencias en la atención pueden afectar la confianza y provocar conflictos y/o entorpecer el desarrollo adecuado del proceso democrático.</w:t>
      </w:r>
    </w:p>
    <w:p w14:paraId="705390E9" w14:textId="77777777" w:rsidR="00184E64" w:rsidRPr="00184E64" w:rsidRDefault="00184E64" w:rsidP="00184E64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184E64">
        <w:rPr>
          <w:rFonts w:ascii="Roboto" w:hAnsi="Roboto" w:cs="Arial"/>
          <w:color w:val="373F56"/>
          <w:sz w:val="24"/>
          <w:szCs w:val="24"/>
        </w:rPr>
        <w:t>Ahora bien, es importante señalar que, la atención a la ciudadanía y a los partidos políticos es un fenómeno en constante cambio que requiere entender las transformaciones en las relaciones sociales y políticas; adicionalmente, es necesario tener en cuenta los cambios que se han presentado en las leyes y nuevas formas de entender los procesos electorales, en el tiempo que ha venido trabajando el Instituto Nacional Electoral.</w:t>
      </w:r>
    </w:p>
    <w:p w14:paraId="50EB2CFC" w14:textId="77777777" w:rsidR="00184E64" w:rsidRPr="00184E64" w:rsidRDefault="00184E64" w:rsidP="00184E64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184E64">
        <w:rPr>
          <w:rFonts w:ascii="Roboto" w:hAnsi="Roboto" w:cs="Arial"/>
          <w:color w:val="373F56"/>
          <w:sz w:val="24"/>
          <w:szCs w:val="24"/>
        </w:rPr>
        <w:t>El conocimiento sobre el fenómeno de la atención ciudadana y a los partidos políticos, requiere profundizar sobre los cambios teórico-conceptuales y empíricos en el proceso de atención que realiza el órgano electoral, el cual está determinado en la actualidad por los siguientes factores:</w:t>
      </w:r>
    </w:p>
    <w:p w14:paraId="6929A094" w14:textId="02828791" w:rsidR="00184E64" w:rsidRPr="00184E64" w:rsidRDefault="00184E64" w:rsidP="00184E64">
      <w:pPr>
        <w:pStyle w:val="Prrafodelista"/>
        <w:numPr>
          <w:ilvl w:val="0"/>
          <w:numId w:val="5"/>
        </w:numPr>
        <w:spacing w:after="240" w:line="360" w:lineRule="auto"/>
        <w:jc w:val="both"/>
        <w:rPr>
          <w:rFonts w:ascii="Roboto" w:hAnsi="Roboto" w:cs="Arial"/>
          <w:color w:val="373F56"/>
          <w:sz w:val="24"/>
          <w:szCs w:val="24"/>
        </w:rPr>
      </w:pPr>
      <w:r w:rsidRPr="00184E64">
        <w:rPr>
          <w:rFonts w:ascii="Roboto" w:hAnsi="Roboto" w:cs="Arial"/>
          <w:color w:val="373F56"/>
          <w:sz w:val="24"/>
          <w:szCs w:val="24"/>
        </w:rPr>
        <w:t>Recursos limitados</w:t>
      </w:r>
    </w:p>
    <w:p w14:paraId="7D023038" w14:textId="1000B780" w:rsidR="00184E64" w:rsidRPr="00184E64" w:rsidRDefault="00184E64" w:rsidP="00184E64">
      <w:pPr>
        <w:pStyle w:val="Prrafodelista"/>
        <w:numPr>
          <w:ilvl w:val="0"/>
          <w:numId w:val="5"/>
        </w:numPr>
        <w:spacing w:after="240" w:line="360" w:lineRule="auto"/>
        <w:jc w:val="both"/>
        <w:rPr>
          <w:rFonts w:ascii="Roboto" w:hAnsi="Roboto" w:cs="Arial"/>
          <w:color w:val="373F56"/>
          <w:sz w:val="24"/>
          <w:szCs w:val="24"/>
        </w:rPr>
      </w:pPr>
      <w:r w:rsidRPr="00184E64">
        <w:rPr>
          <w:rFonts w:ascii="Roboto" w:hAnsi="Roboto" w:cs="Arial"/>
          <w:color w:val="373F56"/>
          <w:sz w:val="24"/>
          <w:szCs w:val="24"/>
        </w:rPr>
        <w:t>Procedimientos complejos</w:t>
      </w:r>
    </w:p>
    <w:p w14:paraId="5800C81B" w14:textId="0523E627" w:rsidR="00184E64" w:rsidRDefault="00184E64" w:rsidP="00184E64">
      <w:pPr>
        <w:pStyle w:val="Prrafodelista"/>
        <w:numPr>
          <w:ilvl w:val="0"/>
          <w:numId w:val="5"/>
        </w:numPr>
        <w:spacing w:after="240" w:line="360" w:lineRule="auto"/>
        <w:jc w:val="both"/>
        <w:rPr>
          <w:rFonts w:ascii="Roboto" w:hAnsi="Roboto" w:cs="Arial"/>
          <w:color w:val="373F56"/>
          <w:sz w:val="24"/>
          <w:szCs w:val="24"/>
        </w:rPr>
      </w:pPr>
      <w:r w:rsidRPr="00184E64">
        <w:rPr>
          <w:rFonts w:ascii="Roboto" w:hAnsi="Roboto" w:cs="Arial"/>
          <w:color w:val="373F56"/>
          <w:sz w:val="24"/>
          <w:szCs w:val="24"/>
        </w:rPr>
        <w:t>Alto grado de reglamentación (rigidez)</w:t>
      </w:r>
    </w:p>
    <w:p w14:paraId="77B4C362" w14:textId="77777777" w:rsidR="00184E64" w:rsidRPr="00184E64" w:rsidRDefault="00184E64" w:rsidP="00184E64">
      <w:pPr>
        <w:pStyle w:val="Prrafodelista"/>
        <w:spacing w:after="240" w:line="360" w:lineRule="auto"/>
        <w:ind w:left="705"/>
        <w:jc w:val="both"/>
        <w:rPr>
          <w:rFonts w:ascii="Roboto" w:hAnsi="Roboto" w:cs="Arial"/>
          <w:color w:val="373F56"/>
          <w:sz w:val="24"/>
          <w:szCs w:val="24"/>
        </w:rPr>
      </w:pPr>
    </w:p>
    <w:p w14:paraId="3109A613" w14:textId="14CA678A" w:rsidR="00184E64" w:rsidRPr="00184E64" w:rsidRDefault="00184E64" w:rsidP="00184E64">
      <w:pPr>
        <w:pStyle w:val="Prrafodelista"/>
        <w:numPr>
          <w:ilvl w:val="0"/>
          <w:numId w:val="5"/>
        </w:numPr>
        <w:spacing w:after="240" w:line="360" w:lineRule="auto"/>
        <w:jc w:val="both"/>
        <w:rPr>
          <w:rFonts w:ascii="Roboto" w:hAnsi="Roboto" w:cs="Arial"/>
          <w:color w:val="373F56"/>
          <w:sz w:val="24"/>
          <w:szCs w:val="24"/>
        </w:rPr>
      </w:pPr>
      <w:r w:rsidRPr="00184E64">
        <w:rPr>
          <w:rFonts w:ascii="Roboto" w:hAnsi="Roboto" w:cs="Arial"/>
          <w:color w:val="373F56"/>
          <w:sz w:val="24"/>
          <w:szCs w:val="24"/>
        </w:rPr>
        <w:t>Información difícil de interpretar</w:t>
      </w:r>
    </w:p>
    <w:p w14:paraId="5F9B3DA5" w14:textId="5A3500D1" w:rsidR="00AA6AFC" w:rsidRPr="00745D2F" w:rsidRDefault="00184E64" w:rsidP="00184E64">
      <w:pPr>
        <w:spacing w:after="240" w:line="360" w:lineRule="auto"/>
        <w:ind w:left="93"/>
        <w:jc w:val="both"/>
        <w:rPr>
          <w:rFonts w:ascii="Roboto" w:hAnsi="Roboto" w:cs="Arial"/>
          <w:color w:val="373F56"/>
          <w:sz w:val="24"/>
          <w:szCs w:val="24"/>
        </w:rPr>
      </w:pPr>
      <w:r w:rsidRPr="00184E64">
        <w:rPr>
          <w:rFonts w:ascii="Roboto" w:hAnsi="Roboto" w:cs="Arial"/>
          <w:color w:val="373F56"/>
          <w:sz w:val="24"/>
          <w:szCs w:val="24"/>
        </w:rPr>
        <w:t>Este es el contexto que deben enfrentar los funcionarios electorales y es por ello la relevancia de innovar y emprender nuevas técnicas para lograr una atención de calidad. Otro factor de importancia en el mejoramiento de la atención ciudadana y a los partidos políticos, tiene que ver con entender cómo se presenta la convivencia de los actores en la democracia. Uno de los problemas fundamentales es que existe una tendencia generalizada a idealizar la democracia, lo cual repercute en una mala práctica debido a la falta de entendimiento de los procesos y las interacciones entre la ciudadanía, los partidos políticos y las instituciones.</w:t>
      </w:r>
    </w:p>
    <w:sectPr w:rsidR="00AA6AFC" w:rsidRPr="00745D2F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B7342" w14:textId="77777777" w:rsidR="00A52354" w:rsidRDefault="00A52354" w:rsidP="00DE1068">
      <w:pPr>
        <w:spacing w:after="0" w:line="240" w:lineRule="auto"/>
      </w:pPr>
      <w:r>
        <w:separator/>
      </w:r>
    </w:p>
  </w:endnote>
  <w:endnote w:type="continuationSeparator" w:id="0">
    <w:p w14:paraId="5535B939" w14:textId="77777777" w:rsidR="00A52354" w:rsidRDefault="00A52354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BCF62" w14:textId="77777777" w:rsidR="00A52354" w:rsidRDefault="00A52354" w:rsidP="00DE1068">
      <w:pPr>
        <w:spacing w:after="0" w:line="240" w:lineRule="auto"/>
      </w:pPr>
      <w:r>
        <w:separator/>
      </w:r>
    </w:p>
  </w:footnote>
  <w:footnote w:type="continuationSeparator" w:id="0">
    <w:p w14:paraId="3AD0A95D" w14:textId="77777777" w:rsidR="00A52354" w:rsidRDefault="00A52354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93FB" w14:textId="174EB7D3" w:rsidR="00AA6AFC" w:rsidRDefault="00AA6AFC">
    <w:pPr>
      <w:pStyle w:val="Encabezado"/>
    </w:pPr>
    <w:r w:rsidRPr="00AA6AFC">
      <w:rPr>
        <w:b/>
        <w:bCs/>
        <w:noProof/>
        <w:color w:val="373F56"/>
        <w:sz w:val="32"/>
        <w:szCs w:val="32"/>
      </w:rPr>
      <w:drawing>
        <wp:anchor distT="0" distB="0" distL="114300" distR="114300" simplePos="0" relativeHeight="251659264" behindDoc="1" locked="0" layoutInCell="1" allowOverlap="1" wp14:anchorId="41EEDDEA" wp14:editId="03C41FB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082F"/>
    <w:multiLevelType w:val="hybridMultilevel"/>
    <w:tmpl w:val="3B22D1A4"/>
    <w:lvl w:ilvl="0" w:tplc="080A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" w15:restartNumberingAfterBreak="0">
    <w:nsid w:val="179908DB"/>
    <w:multiLevelType w:val="hybridMultilevel"/>
    <w:tmpl w:val="7422DD4A"/>
    <w:lvl w:ilvl="0" w:tplc="1F149758">
      <w:numFmt w:val="bullet"/>
      <w:lvlText w:val="•"/>
      <w:lvlJc w:val="left"/>
      <w:pPr>
        <w:ind w:left="705" w:hanging="612"/>
      </w:pPr>
      <w:rPr>
        <w:rFonts w:ascii="Roboto" w:eastAsiaTheme="minorHAnsi" w:hAnsi="Roboto" w:cs="Arial" w:hint="default"/>
      </w:rPr>
    </w:lvl>
    <w:lvl w:ilvl="1" w:tplc="080A0003" w:tentative="1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</w:abstractNum>
  <w:abstractNum w:abstractNumId="2" w15:restartNumberingAfterBreak="0">
    <w:nsid w:val="3257018D"/>
    <w:multiLevelType w:val="multilevel"/>
    <w:tmpl w:val="CA2237AE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  <w:rPr>
        <w:b/>
        <w:bCs/>
      </w:r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3" w15:restartNumberingAfterBreak="0">
    <w:nsid w:val="6E910D0A"/>
    <w:multiLevelType w:val="multilevel"/>
    <w:tmpl w:val="894E154C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bullet"/>
      <w:lvlText w:val=""/>
      <w:lvlJc w:val="left"/>
      <w:pPr>
        <w:ind w:left="453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ind w:left="1893" w:hanging="360"/>
      </w:p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4" w15:restartNumberingAfterBreak="0">
    <w:nsid w:val="76323A57"/>
    <w:multiLevelType w:val="multilevel"/>
    <w:tmpl w:val="E96C525A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ind w:left="1893" w:hanging="360"/>
      </w:p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num w:numId="1" w16cid:durableId="1443181711">
    <w:abstractNumId w:val="2"/>
  </w:num>
  <w:num w:numId="2" w16cid:durableId="1590844648">
    <w:abstractNumId w:val="4"/>
  </w:num>
  <w:num w:numId="3" w16cid:durableId="1480539671">
    <w:abstractNumId w:val="3"/>
  </w:num>
  <w:num w:numId="4" w16cid:durableId="1158349660">
    <w:abstractNumId w:val="0"/>
  </w:num>
  <w:num w:numId="5" w16cid:durableId="927233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B1613"/>
    <w:rsid w:val="0015342C"/>
    <w:rsid w:val="00184E64"/>
    <w:rsid w:val="001C4015"/>
    <w:rsid w:val="001F7294"/>
    <w:rsid w:val="002216F6"/>
    <w:rsid w:val="00272F0D"/>
    <w:rsid w:val="003F2EE0"/>
    <w:rsid w:val="00413A8F"/>
    <w:rsid w:val="004E7FD3"/>
    <w:rsid w:val="005035CA"/>
    <w:rsid w:val="00567923"/>
    <w:rsid w:val="00574C8A"/>
    <w:rsid w:val="00592248"/>
    <w:rsid w:val="006F21C6"/>
    <w:rsid w:val="006F6B84"/>
    <w:rsid w:val="00745D2F"/>
    <w:rsid w:val="00746311"/>
    <w:rsid w:val="00752C68"/>
    <w:rsid w:val="00775427"/>
    <w:rsid w:val="007A2A4B"/>
    <w:rsid w:val="0080301F"/>
    <w:rsid w:val="0081054B"/>
    <w:rsid w:val="008321AF"/>
    <w:rsid w:val="00856A3F"/>
    <w:rsid w:val="00872B2A"/>
    <w:rsid w:val="008B3E87"/>
    <w:rsid w:val="008E466F"/>
    <w:rsid w:val="00A42081"/>
    <w:rsid w:val="00A52354"/>
    <w:rsid w:val="00AA6AFC"/>
    <w:rsid w:val="00AC0B9E"/>
    <w:rsid w:val="00B9441A"/>
    <w:rsid w:val="00B94AE2"/>
    <w:rsid w:val="00BA101D"/>
    <w:rsid w:val="00C04934"/>
    <w:rsid w:val="00C43960"/>
    <w:rsid w:val="00C52D31"/>
    <w:rsid w:val="00CA578E"/>
    <w:rsid w:val="00D2140B"/>
    <w:rsid w:val="00DE1068"/>
    <w:rsid w:val="00DF1972"/>
    <w:rsid w:val="00E1362F"/>
    <w:rsid w:val="00E56B8A"/>
    <w:rsid w:val="00EB04A6"/>
    <w:rsid w:val="00EC1745"/>
    <w:rsid w:val="00EF2AE7"/>
    <w:rsid w:val="00FD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Párrafo de lista1,Listas,AB List 1,Bullet Points,Bullet List,FooterText,numbered,Paragraphe de liste1,List Paragraph1,Bulletr List Paragraph,Parrafo 1,List Paragraph-Thesis,Dot pt,List Paragraph Char Char Char,Bullet 1,lp1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character" w:customStyle="1" w:styleId="PrrafodelistaCar">
    <w:name w:val="Párrafo de lista Car"/>
    <w:aliases w:val="CNBV Parrafo1 Car,Párrafo de lista1 Car,Listas Car,AB List 1 Car,Bullet Points Car,Bullet List Car,FooterText Car,numbered Car,Paragraphe de liste1 Car,List Paragraph1 Car,Bulletr List Paragraph Car,Parrafo 1 Car,Dot pt Car,lp1 Car"/>
    <w:link w:val="Prrafodelista"/>
    <w:uiPriority w:val="34"/>
    <w:qFormat/>
    <w:rsid w:val="00CA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3</cp:revision>
  <cp:lastPrinted>2025-08-01T16:31:00Z</cp:lastPrinted>
  <dcterms:created xsi:type="dcterms:W3CDTF">2026-08-29T18:17:00Z</dcterms:created>
  <dcterms:modified xsi:type="dcterms:W3CDTF">2026-08-29T18:31:00Z</dcterms:modified>
</cp:coreProperties>
</file>